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安徽工业职业技术学院</w:t>
      </w:r>
      <w:bookmarkStart w:id="9" w:name="_GoBack"/>
      <w:bookmarkEnd w:id="9"/>
    </w:p>
    <w:p>
      <w:pPr>
        <w:adjustRightInd w:val="0"/>
        <w:snapToGrid w:val="0"/>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lang w:val="en-US" w:eastAsia="zh-CN"/>
        </w:rPr>
        <w:t>汽车</w:t>
      </w:r>
      <w:r>
        <w:rPr>
          <w:rFonts w:hint="eastAsia" w:asciiTheme="minorEastAsia" w:hAnsiTheme="minorEastAsia" w:eastAsiaTheme="minorEastAsia" w:cstheme="minorEastAsia"/>
          <w:color w:val="auto"/>
          <w:sz w:val="32"/>
          <w:szCs w:val="32"/>
        </w:rPr>
        <w:t>检测与维修技术扩招专业人才培养方案（2019版）</w:t>
      </w:r>
    </w:p>
    <w:p>
      <w:pPr>
        <w:adjustRightInd w:val="0"/>
        <w:snapToGrid w:val="0"/>
        <w:jc w:val="center"/>
        <w:rPr>
          <w:rFonts w:hint="eastAsia"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一、专业名称及代码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专业名称：汽车检测与维修技术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专业代码：560702</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二、人学要求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高中阶段教育毕业生或具有同等学力人员</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三、修业年限与学历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color w:val="auto"/>
          <w:sz w:val="24"/>
          <w:szCs w:val="24"/>
        </w:rPr>
      </w:pPr>
      <w:r>
        <w:rPr>
          <w:rFonts w:asciiTheme="minorEastAsia" w:hAnsiTheme="minorEastAsia"/>
          <w:color w:val="auto"/>
          <w:sz w:val="24"/>
          <w:szCs w:val="24"/>
        </w:rPr>
        <w:t>本</w:t>
      </w:r>
      <w:r>
        <w:rPr>
          <w:rFonts w:hint="eastAsia" w:asciiTheme="minorEastAsia" w:hAnsiTheme="minorEastAsia"/>
          <w:color w:val="auto"/>
          <w:sz w:val="24"/>
          <w:szCs w:val="24"/>
        </w:rPr>
        <w:t>专业学制3 年，可实施弹性学习，最长不超过6年。专科</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四、职业面向</w:t>
      </w:r>
    </w:p>
    <w:tbl>
      <w:tblPr>
        <w:tblStyle w:val="11"/>
        <w:tblpPr w:leftFromText="180" w:rightFromText="180" w:vertAnchor="text" w:horzAnchor="margin" w:tblpXSpec="center" w:tblpY="67"/>
        <w:tblW w:w="89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所属</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专业大类</w:t>
            </w:r>
          </w:p>
        </w:tc>
        <w:tc>
          <w:tcPr>
            <w:tcW w:w="11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所属</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专业类</w:t>
            </w:r>
          </w:p>
        </w:tc>
        <w:tc>
          <w:tcPr>
            <w:tcW w:w="1276"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对应</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行业</w:t>
            </w:r>
          </w:p>
        </w:tc>
        <w:tc>
          <w:tcPr>
            <w:tcW w:w="1310"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主要职业类别</w:t>
            </w:r>
          </w:p>
        </w:tc>
        <w:tc>
          <w:tcPr>
            <w:tcW w:w="22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主要岗位类别</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（或技术领域）</w:t>
            </w:r>
          </w:p>
        </w:tc>
        <w:tc>
          <w:tcPr>
            <w:tcW w:w="1785"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相应专业实践能力证书举例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装备</w:t>
            </w:r>
            <w:r>
              <w:rPr>
                <w:rFonts w:hint="eastAsia" w:ascii="宋体" w:hAnsi="宋体" w:eastAsia="宋体" w:cs="宋体"/>
                <w:color w:val="auto"/>
                <w:sz w:val="24"/>
                <w:szCs w:val="24"/>
              </w:rPr>
              <w:t>制造</w:t>
            </w:r>
            <w:r>
              <w:rPr>
                <w:rFonts w:hint="eastAsia" w:ascii="宋体" w:hAnsi="宋体" w:eastAsia="宋体" w:cs="宋体"/>
                <w:color w:val="auto"/>
                <w:sz w:val="24"/>
                <w:szCs w:val="24"/>
                <w:lang w:val="en-US" w:eastAsia="zh-CN"/>
              </w:rPr>
              <w:t>大</w:t>
            </w:r>
            <w:r>
              <w:rPr>
                <w:rFonts w:hint="eastAsia" w:ascii="宋体" w:hAnsi="宋体" w:eastAsia="宋体" w:cs="宋体"/>
                <w:color w:val="auto"/>
                <w:sz w:val="24"/>
                <w:szCs w:val="24"/>
              </w:rPr>
              <w:t>类</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w:t>
            </w:r>
          </w:p>
        </w:tc>
        <w:tc>
          <w:tcPr>
            <w:tcW w:w="11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汽车制造类</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5607</w:t>
            </w:r>
          </w:p>
        </w:tc>
        <w:tc>
          <w:tcPr>
            <w:tcW w:w="127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汽车制造业、汽车、工程车等修理与维护</w:t>
            </w:r>
          </w:p>
        </w:tc>
        <w:tc>
          <w:tcPr>
            <w:tcW w:w="1310" w:type="dxa"/>
            <w:tcBorders>
              <w:tl2br w:val="nil"/>
              <w:tr2bl w:val="nil"/>
            </w:tcBorders>
            <w:vAlign w:val="center"/>
          </w:tcPr>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汽车整车制造人员；汽车、工程车修理技术服务人员</w:t>
            </w:r>
          </w:p>
        </w:tc>
        <w:tc>
          <w:tcPr>
            <w:tcW w:w="2234" w:type="dxa"/>
            <w:tcBorders>
              <w:tl2br w:val="nil"/>
              <w:tr2bl w:val="nil"/>
            </w:tcBorders>
            <w:vAlign w:val="center"/>
          </w:tcPr>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汽</w:t>
            </w:r>
            <w:r>
              <w:rPr>
                <w:rFonts w:hint="eastAsia" w:ascii="宋体" w:hAnsi="宋体" w:eastAsia="宋体" w:cs="宋体"/>
                <w:color w:val="auto"/>
                <w:sz w:val="24"/>
                <w:szCs w:val="24"/>
                <w:lang w:val="en-US" w:eastAsia="zh-CN"/>
              </w:rPr>
              <w:t>车质量与性能检测；</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汽车故障返修；</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汽车机电维修；</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服务顾问；</w:t>
            </w:r>
          </w:p>
        </w:tc>
        <w:tc>
          <w:tcPr>
            <w:tcW w:w="1785"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汽车维修工</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中级工证书</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color w:val="auto"/>
                <w:kern w:val="0"/>
                <w:sz w:val="24"/>
                <w:szCs w:val="24"/>
              </w:rPr>
            </w:pPr>
          </w:p>
        </w:tc>
      </w:tr>
    </w:tbl>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五、培养目标与培养规格</w:t>
      </w:r>
    </w:p>
    <w:p>
      <w:pPr>
        <w:keepNext w:val="0"/>
        <w:keepLines w:val="0"/>
        <w:pageBreakBefore w:val="0"/>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（一）培养目标</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汽车制造业,汽车、</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车等修理与维护行业的汽车整车制造人员、汽车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车维修技术服务人员等职业群,能够从事汽车质量与性能检</w:t>
      </w:r>
      <w:r>
        <w:rPr>
          <w:rFonts w:hint="eastAsia" w:ascii="宋体" w:hAnsi="宋体" w:eastAsia="宋体" w:cs="宋体"/>
          <w:color w:val="auto"/>
          <w:kern w:val="0"/>
          <w:sz w:val="24"/>
          <w:szCs w:val="24"/>
          <w:lang w:val="en-US" w:eastAsia="zh-CN" w:bidi="ar"/>
        </w:rPr>
        <w:t>测、汽车故障返修、汽车机电维修、服务顾问等工作的高素质技术技能人才。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（二）培养规格</w:t>
      </w:r>
    </w:p>
    <w:p>
      <w:pPr>
        <w:keepNext w:val="0"/>
        <w:keepLines w:val="0"/>
        <w:pageBreakBefore w:val="0"/>
        <w:widowControl/>
        <w:suppressLineNumbers w:val="0"/>
        <w:kinsoku/>
        <w:wordWrap/>
        <w:overflowPunct/>
        <w:topLinePunct w:val="0"/>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本专业毕业生应在素质、知识和能力等方面达到以下要求:</w:t>
      </w:r>
    </w:p>
    <w:p>
      <w:pPr>
        <w:keepNext w:val="0"/>
        <w:keepLines w:val="0"/>
        <w:pageBreakBefore w:val="0"/>
        <w:widowControl/>
        <w:suppressLineNumbers w:val="0"/>
        <w:kinsoku/>
        <w:wordWrap/>
        <w:overflowPunct/>
        <w:topLinePunct w:val="0"/>
        <w:autoSpaceDE/>
        <w:autoSpaceDN/>
        <w:bidi w:val="0"/>
        <w:snapToGrid/>
        <w:spacing w:line="360" w:lineRule="auto"/>
        <w:ind w:left="959" w:leftChars="228" w:hanging="480" w:hanging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1、素质</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(1)坚定拥护中国共产党领导和我国社会主义制度,在习近平新时代中国特色社会主义思想指引下,践行社会主义核心价值观,具有深厚的爱国情感和中华民族自豪感。</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(2)崇尚宪法、遵法守纪、崇德向善、诚实守信、尊重生命、热爱劳动,履行道德准则和行为规范,具有社会责任感和社会参与意识。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(3)具有质量意识、环保意识、安全意识、信息素养、工匠精神、创新思维。</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(4)勇于奋斗、乐观向上,具有自我管理能力、职业生涯规划的意识,有较强的集体意识和团队合作精神。</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(5)具有健康的体魄、心理和健全的人格,掌握基本运动知识和1-2项运动技能,养成良好的健身与卫生习惯,以及良好的行为习惯。</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(6)具有一定的审美和人文素养,能够形成1-2项艺术特长或爱好。</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2、知识</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(1)掌握必备的思想政治理论、科学文化基础知识和中华优秀传统文化知识。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(2)熟悉与本专业相关的法律法规以及环境保护、安全消防等知识。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(3)熟悉汽车零件图和装配图要素。</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(4)熟悉电路图的组成要素及电工特种作业基本知识；</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(5)了解单片机原理与控制知识。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(6)掌握汽车各部分的组成及工作原理。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(7)掌握汽车发动机、汽车底盘、汽车电气系统的检测与维修方法。</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(8)掌握汽车质量评审与检验的相关知识。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(9)掌握汽车检测常用仪器、工具和设备的选择、维护与操作规程。</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(10)掌握汽车性能检测及故障诊断相关知识。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(11)掌握节能与新能源相关知识。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(12)掌握新能源汽车的组成、工作原理及使用维护等相关知识。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(13)了解汽车制造相关的国家标准和国际标准。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(14)了解汽车销售、保险和理赔、旧车鉴定和维修企业管理等相关知识。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(15)了解车身表面修复方法与要求。</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3、能力</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(1)具有探究学习、终身学习、分析问题和解决问题的能力。</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(2)具有良好的语言、文字表达能力和沟通能力。</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(3)具备本专业必需的信息技术应用和维护能力。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(4)具备对汽车电路图的识读与分析能力。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(5)能够执行维修技术标准和制造厂、零部件供应商提供的车辆维修、调整、路试检查程序。</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(6)具备车辆各总成和系统部件的拆卸、标记与装配能力。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(7)具备参照国家质量标准、国际标准和汽车制造商质量规定进行汽车质量评审与检验的能力。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(8)具备熟练操作汽车检测与维修常用设备、仪器及工具的能力。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(9)具备制定维修方案,排除汽车综合故障的能力。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(10)具备使用与维护电动汽车电池、电机及电控系统的能力。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(11)具备与客户交车,处理客户委托的能力。</w:t>
      </w:r>
    </w:p>
    <w:p>
      <w:pPr>
        <w:keepNext w:val="0"/>
        <w:keepLines w:val="0"/>
        <w:pageBreakBefore w:val="0"/>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六、课程设置</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（一）课程设置</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本专业课程主要包括公共基础课程和专业课程。</w:t>
      </w:r>
    </w:p>
    <w:p>
      <w:pPr>
        <w:keepNext w:val="0"/>
        <w:keepLines w:val="0"/>
        <w:pageBreakBefore w:val="0"/>
        <w:widowControl/>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IE"/>
        </w:rPr>
        <w:t>1</w:t>
      </w:r>
      <w:r>
        <w:rPr>
          <w:rFonts w:hint="eastAsia" w:ascii="宋体" w:hAnsi="宋体" w:eastAsia="宋体" w:cs="宋体"/>
          <w:b/>
          <w:color w:val="auto"/>
          <w:sz w:val="24"/>
          <w:szCs w:val="24"/>
          <w:lang w:val="en-IE" w:eastAsia="zh-CN"/>
        </w:rPr>
        <w:t>、</w:t>
      </w:r>
      <w:r>
        <w:rPr>
          <w:rFonts w:hint="eastAsia" w:ascii="宋体" w:hAnsi="宋体" w:eastAsia="宋体" w:cs="宋体"/>
          <w:b/>
          <w:color w:val="auto"/>
          <w:sz w:val="24"/>
          <w:szCs w:val="24"/>
        </w:rPr>
        <w:t>公共基础课</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eastAsia="zh-CN"/>
        </w:rPr>
        <w:t>本专业课程</w:t>
      </w:r>
      <w:r>
        <w:rPr>
          <w:rFonts w:hint="eastAsia" w:ascii="宋体" w:hAnsi="宋体" w:eastAsia="宋体" w:cs="宋体"/>
          <w:b w:val="0"/>
          <w:bCs/>
          <w:color w:val="auto"/>
          <w:kern w:val="0"/>
          <w:sz w:val="24"/>
          <w:szCs w:val="24"/>
        </w:rPr>
        <w:t>主要包括公共基础课</w:t>
      </w:r>
      <w:r>
        <w:rPr>
          <w:rFonts w:hint="eastAsia" w:ascii="宋体" w:hAnsi="宋体" w:eastAsia="宋体" w:cs="宋体"/>
          <w:b w:val="0"/>
          <w:bCs/>
          <w:color w:val="auto"/>
          <w:kern w:val="0"/>
          <w:sz w:val="24"/>
          <w:szCs w:val="24"/>
          <w:lang w:eastAsia="zh-CN"/>
        </w:rPr>
        <w:t>和</w:t>
      </w:r>
      <w:r>
        <w:rPr>
          <w:rFonts w:hint="eastAsia" w:ascii="宋体" w:hAnsi="宋体" w:eastAsia="宋体" w:cs="宋体"/>
          <w:b w:val="0"/>
          <w:bCs/>
          <w:color w:val="auto"/>
          <w:kern w:val="0"/>
          <w:sz w:val="24"/>
          <w:szCs w:val="24"/>
        </w:rPr>
        <w:t>专业（技能）课。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b/>
          <w:color w:val="auto"/>
          <w:sz w:val="30"/>
          <w:szCs w:val="30"/>
        </w:rPr>
        <w:t xml:space="preserve"> </w:t>
      </w:r>
      <w:r>
        <w:rPr>
          <w:rFonts w:hint="eastAsia"/>
          <w:b/>
          <w:color w:val="auto"/>
          <w:sz w:val="30"/>
          <w:szCs w:val="30"/>
          <w:lang w:val="en-US" w:eastAsia="zh-CN"/>
        </w:rPr>
        <w:t xml:space="preserve">  </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0"/>
        <w:rPr>
          <w:rFonts w:hint="eastAsia" w:ascii="宋体" w:hAnsi="宋体" w:eastAsia="宋体" w:cs="宋体"/>
          <w:b w:val="0"/>
          <w:bCs/>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val="0"/>
          <w:bCs/>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tabs>
          <w:tab w:val="left" w:pos="26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rPr>
        <w:t>专业英语</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本课程用英语介绍涉及汽车构造和售后服务的基本知识，其内容基本覆盖了汽车专业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本课程共分为8个模块，系统介绍与汽车构造和售后服务相关的各个知识点：Engine System （发动机），Chassis（底盘），Body （车身），Electrical Equipment （电气设备），Automobile Sales （汽车销售），After Sales （售后服务），Automobile Maintenance （维护保养），Automobile Diagnosis （故障诊断），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本课程的学习，使学生掌握汽车构造和售后服务常用的英语词汇，积累专业词汇量；使学生学会利用英语工具获取专业所需的信息；培养学生对所学专业中低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课程目标：</w:t>
      </w:r>
      <w:r>
        <w:rPr>
          <w:rFonts w:hint="eastAsia" w:ascii="宋体" w:hAnsi="宋体" w:eastAsia="宋体" w:cs="宋体"/>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auto"/>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教学内容：</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Style w:val="14"/>
          <w:rFonts w:hint="eastAsia" w:ascii="宋体" w:hAnsi="宋体" w:eastAsia="宋体" w:cs="宋体"/>
          <w:color w:val="auto"/>
          <w:sz w:val="24"/>
          <w:szCs w:val="24"/>
        </w:rPr>
      </w:pPr>
      <w:r>
        <w:rPr>
          <w:rStyle w:val="14"/>
          <w:rFonts w:hint="eastAsia" w:ascii="宋体" w:hAnsi="宋体" w:eastAsia="宋体" w:cs="宋体"/>
          <w:color w:val="auto"/>
          <w:sz w:val="24"/>
          <w:szCs w:val="24"/>
        </w:rPr>
        <w:t>教学要求：</w:t>
      </w:r>
      <w:r>
        <w:rPr>
          <w:rFonts w:hint="eastAsia" w:ascii="宋体" w:hAnsi="宋体" w:eastAsia="宋体" w:cs="宋体"/>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Theme="minorEastAsia" w:hAnsiTheme="minorEastAsia"/>
          <w:b/>
          <w:color w:val="auto"/>
          <w:sz w:val="24"/>
          <w:szCs w:val="24"/>
        </w:rPr>
      </w:pPr>
      <w:r>
        <w:rPr>
          <w:rFonts w:hint="eastAsia" w:asciiTheme="minorEastAsia" w:hAnsiTheme="minorEastAsia"/>
          <w:b/>
          <w:color w:val="auto"/>
          <w:sz w:val="24"/>
          <w:szCs w:val="24"/>
          <w:lang w:val="en-US" w:eastAsia="zh-CN"/>
        </w:rPr>
        <w:t>2、</w:t>
      </w:r>
      <w:r>
        <w:rPr>
          <w:rFonts w:hint="eastAsia" w:asciiTheme="minorEastAsia" w:hAnsiTheme="minorEastAsia"/>
          <w:b/>
          <w:color w:val="auto"/>
          <w:sz w:val="24"/>
          <w:szCs w:val="24"/>
        </w:rPr>
        <w:t>专业（技能）课程</w:t>
      </w:r>
    </w:p>
    <w:p>
      <w:pPr>
        <w:widowControl/>
        <w:spacing w:line="360" w:lineRule="auto"/>
        <w:ind w:firstLine="482" w:firstLineChars="200"/>
        <w:jc w:val="left"/>
        <w:rPr>
          <w:rFonts w:hint="eastAsia" w:ascii="宋体" w:hAnsi="宋体"/>
          <w:b/>
          <w:color w:val="auto"/>
          <w:sz w:val="24"/>
          <w:szCs w:val="24"/>
        </w:rPr>
      </w:pPr>
      <w:r>
        <w:rPr>
          <w:rFonts w:hint="eastAsia" w:ascii="宋体" w:hAnsi="宋体"/>
          <w:b/>
          <w:color w:val="auto"/>
          <w:sz w:val="24"/>
          <w:szCs w:val="24"/>
          <w:lang w:val="en-US" w:eastAsia="zh-CN"/>
        </w:rPr>
        <w:t>(1)</w:t>
      </w:r>
      <w:r>
        <w:rPr>
          <w:rFonts w:hint="eastAsia" w:ascii="宋体" w:hAnsi="宋体"/>
          <w:b/>
          <w:color w:val="auto"/>
          <w:sz w:val="24"/>
          <w:szCs w:val="24"/>
        </w:rPr>
        <w:t>汽车机械制图</w:t>
      </w:r>
    </w:p>
    <w:p>
      <w:pPr>
        <w:widowControl/>
        <w:spacing w:line="360" w:lineRule="auto"/>
        <w:ind w:firstLine="482" w:firstLineChars="200"/>
        <w:jc w:val="left"/>
        <w:rPr>
          <w:rFonts w:asciiTheme="minorEastAsia" w:hAnsiTheme="minorEastAsia" w:eastAsiaTheme="minorEastAsia" w:cstheme="minorEastAsia"/>
          <w:color w:val="auto"/>
          <w:sz w:val="24"/>
          <w:szCs w:val="24"/>
        </w:rPr>
      </w:pPr>
      <w:r>
        <w:rPr>
          <w:rFonts w:hint="eastAsia" w:ascii="宋体" w:hAnsi="宋体" w:cs="宋体"/>
          <w:b/>
          <w:color w:val="auto"/>
          <w:kern w:val="0"/>
          <w:sz w:val="24"/>
          <w:szCs w:val="24"/>
        </w:rPr>
        <w:t>课程目标：</w:t>
      </w:r>
      <w:r>
        <w:rPr>
          <w:rFonts w:hint="eastAsia" w:asciiTheme="minorEastAsia" w:hAnsiTheme="minorEastAsia" w:eastAsiaTheme="minorEastAsia" w:cstheme="minorEastAsia"/>
          <w:color w:val="auto"/>
          <w:sz w:val="24"/>
          <w:szCs w:val="24"/>
        </w:rPr>
        <w:t>通过该课程的学习，初步具有程绘图与图样分析的基本能力，具有基本的绘制和读懂常用机械零件图的能力。能看懂工程机械图样；能分析机械设备工作原理图；以及其他有用的知识储备。</w:t>
      </w:r>
    </w:p>
    <w:p>
      <w:pPr>
        <w:pStyle w:val="19"/>
        <w:widowControl/>
        <w:numPr>
          <w:ilvl w:val="0"/>
          <w:numId w:val="0"/>
        </w:numPr>
        <w:spacing w:line="360" w:lineRule="auto"/>
        <w:ind w:leftChars="0" w:firstLine="482" w:firstLineChars="200"/>
        <w:jc w:val="left"/>
        <w:rPr>
          <w:rFonts w:ascii="宋体"/>
          <w:color w:val="auto"/>
          <w:sz w:val="24"/>
          <w:szCs w:val="24"/>
        </w:rPr>
      </w:pPr>
      <w:r>
        <w:rPr>
          <w:rFonts w:hint="eastAsia" w:ascii="宋体" w:hAnsi="宋体" w:cs="宋体"/>
          <w:b/>
          <w:color w:val="auto"/>
          <w:kern w:val="0"/>
          <w:sz w:val="24"/>
          <w:szCs w:val="24"/>
        </w:rPr>
        <w:t>主要内容：</w:t>
      </w:r>
      <w:r>
        <w:rPr>
          <w:rFonts w:hint="eastAsia" w:ascii="宋体" w:hAnsi="宋体" w:cs="宋体"/>
          <w:color w:val="auto"/>
          <w:sz w:val="24"/>
          <w:szCs w:val="24"/>
        </w:rPr>
        <w:t>《机械制图》是高等职业技术学院机械类专业必修的一门技术基础课，</w:t>
      </w:r>
      <w:r>
        <w:rPr>
          <w:rFonts w:hint="eastAsia" w:cs="宋体"/>
          <w:color w:val="auto"/>
          <w:sz w:val="24"/>
          <w:szCs w:val="24"/>
        </w:rPr>
        <w:t>具有丰富的理论性和实践性，</w:t>
      </w:r>
      <w:r>
        <w:rPr>
          <w:rFonts w:hint="eastAsia" w:ascii="宋体" w:hAnsi="宋体" w:cs="宋体"/>
          <w:color w:val="auto"/>
          <w:sz w:val="24"/>
          <w:szCs w:val="24"/>
        </w:rPr>
        <w:t>在基础课与专业课之间起承上启下的作用。主要研究利用正投影原理绘制和识读机械图样的基本理论和方法，培养学生的空间想象能力和构思能力。</w:t>
      </w:r>
    </w:p>
    <w:p>
      <w:pPr>
        <w:widowControl/>
        <w:spacing w:line="360" w:lineRule="auto"/>
        <w:ind w:firstLine="482" w:firstLineChars="200"/>
        <w:jc w:val="left"/>
        <w:rPr>
          <w:rFonts w:ascii="宋体" w:hAnsi="宋体"/>
          <w:color w:val="auto"/>
          <w:sz w:val="24"/>
        </w:rPr>
      </w:pPr>
      <w:r>
        <w:rPr>
          <w:rFonts w:hint="eastAsia" w:ascii="宋体" w:hAnsi="宋体" w:cs="宋体"/>
          <w:b/>
          <w:color w:val="auto"/>
          <w:kern w:val="0"/>
          <w:sz w:val="24"/>
          <w:szCs w:val="24"/>
        </w:rPr>
        <w:t>教学要求：</w:t>
      </w:r>
      <w:r>
        <w:rPr>
          <w:rFonts w:hint="eastAsia" w:ascii="宋体" w:hAnsi="宋体" w:cs="宋体"/>
          <w:color w:val="auto"/>
          <w:sz w:val="24"/>
          <w:szCs w:val="24"/>
        </w:rPr>
        <w:t>本课程是进行机械设计和进行技术交流的重要的工程技术语言，是机械设计与制造、模具设计与制造、数控技术、机械设备管理与维修</w:t>
      </w:r>
      <w:r>
        <w:rPr>
          <w:rFonts w:hint="eastAsia" w:ascii="宋体" w:hAnsi="宋体" w:cs="宋体"/>
          <w:color w:val="auto"/>
          <w:sz w:val="24"/>
          <w:szCs w:val="24"/>
          <w:lang w:eastAsia="zh-CN"/>
        </w:rPr>
        <w:t>、汽车检测与维修</w:t>
      </w:r>
      <w:r>
        <w:rPr>
          <w:rFonts w:hint="eastAsia" w:ascii="宋体" w:hAnsi="宋体" w:cs="宋体"/>
          <w:color w:val="auto"/>
          <w:sz w:val="24"/>
          <w:szCs w:val="24"/>
        </w:rPr>
        <w:t>等专业的专业技术基础课，是制造、检验、装配、维修零件及机器的重要技术文件和主要依据，也是学生将来从事机械、加工等技术工作的基础。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汽车机械基础</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该课程的学习，培养学生具备在汽车检测与维修工作岗位及其相近岗位群所必需掌握的金属在汽车中的应用，互换性、标准化、公差与配合、通用机械零件和简单传动装置的工作原理、特点及维护方面的常见液压系统的工作原理以及液压系统维护方面的基础知识、基本技能。</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主要内容包括：</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"file:///I:\\教学\\2015春机械基础\\已完成演示文稿（王品）\\人工智能技术导论(第三版)廉师友\\第6章.ppt"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金属材料及热处理概论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"file:///I:\\教学\\2015春机械基础\\已完成演示文稿（王品）\\人工智能技术导论(第三版)廉师友\\第6章.ppt"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"file:///I:\\教学\\2015春机械基础\\已完成演示文稿（王品）\\人工智能技术导论(第三版)廉师友\\第7章.ppt"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互换性与技术测量</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"file:///I:\\教学\\2015春机械基础\\已完成演示文稿（王品）\\人工智能技术导论(第三版)廉师友\\第7章.ppt"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机械基础知识、平面连杆机构、凸轮机构 、联接、带传动、链传动、齿轮传动、轮系、轴类部件、液压与液力传动。通过本课程的学习，使学生对汽车常用材料、常见机构和常用零件的工作原理、特点、应用、结构和标准等有一个系统的认识，具备正确分析、使用和维护汽车机械的能力。</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该课程教学过程中可采取案例教学法，结合学生已经完成的实训课程，运用网络上的视频、动画资源进行讲解，配合部分实物展示，使学生身临其境，在掌握汽车机械理论知识的同时，实践能力得以提高。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汽车材料</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通过该课程的学习，培养学生具备在汽车检测与维修工作岗位及其相近岗位群所必需的汽车工程材料、汽车运行材料基础知识、基本技能。</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汽车金属材料、汽车用非金属材料、车用燃料、汽车润滑剂、汽车工作液、汽车轮胎。通过本课程的学习，使学生了解汽车用金属材料和非金属材料的特性、分类及应用。掌握车用燃料、润滑剂及工作液、轮胎的使用性能，会正确、合理选用。能根据故障现象判断有关燃料、润滑材料、工作液及轮胎的故障。</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该课程教学过程中可采取案例教学法，结合学生已经完成的实训课程，运用网络上的视频资源进行讲解，使学生身临其境，对汽车工程材料、汽车运行材料的理论知识得到掌握，实践能力得以提高。</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电工电子技术</w:t>
      </w:r>
    </w:p>
    <w:p>
      <w:pPr>
        <w:keepNext w:val="0"/>
        <w:keepLines w:val="0"/>
        <w:pageBreakBefore w:val="0"/>
        <w:widowControl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Style w:val="14"/>
          <w:rFonts w:hint="eastAsia" w:asciiTheme="minorEastAsia" w:hAnsiTheme="minorEastAsia" w:eastAsiaTheme="minorEastAsia" w:cstheme="minorEastAsia"/>
          <w:color w:val="auto"/>
          <w:sz w:val="24"/>
          <w:szCs w:val="24"/>
        </w:rPr>
        <w:t>课程目标：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w:t>
      </w:r>
      <w:r>
        <w:rPr>
          <w:rFonts w:hint="eastAsia" w:ascii="宋体" w:hAnsi="宋体" w:eastAsia="宋体" w:cs="宋体"/>
          <w:color w:val="auto"/>
          <w:sz w:val="24"/>
          <w:szCs w:val="24"/>
        </w:rPr>
        <w:t>使学生获得电路基础、模拟电路、数字电路方面专业所必需的基本理论</w:t>
      </w:r>
      <w:r>
        <w:rPr>
          <w:rFonts w:hint="eastAsia" w:ascii="宋体" w:hAnsi="宋体" w:eastAsia="宋体" w:cs="宋体"/>
          <w:color w:val="auto"/>
          <w:sz w:val="24"/>
          <w:szCs w:val="24"/>
        </w:rPr>
        <w:t>、</w:t>
      </w:r>
      <w:r>
        <w:rPr>
          <w:rFonts w:hint="eastAsia" w:ascii="宋体" w:hAnsi="宋体" w:eastAsia="宋体" w:cs="宋体"/>
          <w:color w:val="auto"/>
          <w:sz w:val="24"/>
          <w:szCs w:val="24"/>
        </w:rPr>
        <w:t>基本知识和基本技能，</w:t>
      </w:r>
      <w:r>
        <w:rPr>
          <w:rFonts w:hint="eastAsia" w:ascii="宋体" w:hAnsi="宋体" w:eastAsia="宋体" w:cs="宋体"/>
          <w:color w:val="auto"/>
          <w:sz w:val="24"/>
          <w:szCs w:val="24"/>
        </w:rPr>
        <w:t>培养学生养成索取知识、处理问题和适应环境的良好习惯，提高实际动手操作能力。为后续课程《汽车电器》的学习，和今后从事汽车行业和工程技术工作奠定一定的基础。</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教学内容：</w:t>
      </w:r>
      <w:r>
        <w:rPr>
          <w:rFonts w:hint="eastAsia" w:ascii="宋体" w:hAnsi="宋体" w:eastAsia="宋体" w:cs="宋体"/>
          <w:color w:val="auto"/>
          <w:sz w:val="24"/>
          <w:szCs w:val="24"/>
        </w:rPr>
        <w:t>本课程属非电类专业基础课，主要内容有直流电路、正弦交流电路，磁路、电动机和低压电器、常用半导体器件及应用、汽车用传感器等。它不仅理论知识丰富，而且还具有实践性强等特点。</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heme="minorEastAsia" w:hAnsiTheme="minorEastAsia"/>
          <w:b/>
          <w:color w:val="auto"/>
          <w:sz w:val="24"/>
          <w:szCs w:val="24"/>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汽车构造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本课程的教学，学生应掌握汽车发动机组成，掌握各系统和部件结构、作用和工作原理，并熟悉现代现代汽车发动机结构，掌握汽车底盘组成，掌握各系统和部件结构、作用和工作原理，并熟悉现代现代汽车底盘结构，为学习《汽车修理》、《汽车检测与故障诊断》，掌握汽车维修技术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该课程是汽车检测与维修专业重要的专业基础课，在课程教学方面，我们把发动机实训与发动机构造理论放在一学期里，把汽车底盘实训与汽车底盘构造理论放在一学期里，便于实践与理论教互相融合，增加学生理解能力。本课程主要讲授发动机部分，包括发动机的工作原理、曲柄连杆机构、配气机构、燃油供给系冷却系、润滑系；底盘部分，包括汽车传动系、汽车行驶系、汽车转向系、汽车制动系。使学生较熟练地掌握汽车整体结构，各大机构与系统的作用，结构特点，工作原理等方面的知识，为本专业后续专业课打下良好的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案例教学法，结合本学期的汽车发动机实训，运用网络上的视频资源进行讲解，使学生身临其境，使汽车发动机及汽车底盘各零部件的组成、构造和工作原理的理论知识得以提高和掌握。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spacing w:line="360" w:lineRule="auto"/>
        <w:ind w:firstLine="48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6</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汽车电器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课程目标：</w:t>
      </w:r>
      <w:r>
        <w:rPr>
          <w:rFonts w:hint="eastAsia" w:asciiTheme="minorEastAsia" w:hAnsiTheme="minorEastAsia" w:eastAsiaTheme="minorEastAsia" w:cstheme="minorEastAsia"/>
          <w:color w:val="auto"/>
          <w:sz w:val="24"/>
          <w:szCs w:val="24"/>
        </w:rPr>
        <w:t>通过该课程的学习，培养学生具备汽车维修工的实际工作能力；学生具备在汽车检测与维修工作岗位上所必需的基础知识、技术标准、规范等技术技能，取得汽车维修中级工职业资格证书。课程实施过程中应该养成的爱岗敬业、诚实守信的品德，团队协作、安全生产的意识，以及节约资源、保护环境的良好习惯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主要内容：</w:t>
      </w:r>
      <w:r>
        <w:rPr>
          <w:rFonts w:hint="eastAsia" w:asciiTheme="minorEastAsia" w:hAnsiTheme="minorEastAsia" w:eastAsiaTheme="minorEastAsia" w:cstheme="minorEastAsia"/>
          <w:color w:val="auto"/>
          <w:sz w:val="24"/>
          <w:szCs w:val="24"/>
        </w:rPr>
        <w:t>《汽车电器》是汽车检测与维修专业重要的专业课</w:t>
      </w:r>
      <w:r>
        <w:rPr>
          <w:rFonts w:hint="eastAsia" w:asciiTheme="minorEastAsia" w:hAnsiTheme="minorEastAsia" w:eastAsiaTheme="minorEastAsia" w:cstheme="minorEastAsia"/>
          <w:color w:val="auto"/>
          <w:kern w:val="0"/>
          <w:sz w:val="24"/>
          <w:szCs w:val="24"/>
        </w:rPr>
        <w:t>。在选择课程的教学内容时，一方面充分吸收了企业工程技术人员的意见和建议</w:t>
      </w:r>
      <w:r>
        <w:rPr>
          <w:rFonts w:hint="eastAsia" w:asciiTheme="minorEastAsia" w:hAnsiTheme="minorEastAsia" w:eastAsiaTheme="minorEastAsia" w:cstheme="minorEastAsia"/>
          <w:color w:val="auto"/>
          <w:sz w:val="24"/>
          <w:szCs w:val="24"/>
        </w:rPr>
        <w:t>，根据现代汽车电器越来越复杂难修的特点，我们首先保证了该课程的基本课时，并且安排了一个学期创新实践活动（汽车电器兴趣小组）拓展教学，让学生能看懂复杂汽车电路图，并能进行全车电器基本维修</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color w:val="auto"/>
          <w:sz w:val="24"/>
          <w:szCs w:val="24"/>
        </w:rPr>
        <w:t>本课程主要讲授的是现代汽车的电源系统、起动系统、照明及信号系统、空调系统、安全气囊系统、智能仪表、中控门锁、自动座椅及常见辅助电气设备的构造与维修，电路图的阅读方法等基本知识。使学生初步掌握汽车电气设备的结构、原理、使用与维护，调试与检测，故障诊断及维修方法，并在此基础上掌握整车电路图的识图方法与故障诊断程序，使学生掌握各种工具、仪器的使用方法，能够独立的进行汽车电器的拆装与检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asciiTheme="minorEastAsia" w:hAnsiTheme="minorEastAsia" w:eastAsiaTheme="minorEastAsia" w:cstheme="minorEastAsia"/>
          <w:b/>
          <w:bCs/>
          <w:color w:val="auto"/>
          <w:sz w:val="24"/>
          <w:szCs w:val="24"/>
        </w:rPr>
        <w:t>教学要求</w:t>
      </w:r>
      <w:r>
        <w:rPr>
          <w:rFonts w:hint="eastAsia" w:asciiTheme="minorEastAsia" w:hAnsiTheme="minorEastAsia" w:eastAsiaTheme="minorEastAsia" w:cstheme="minorEastAsia"/>
          <w:color w:val="auto"/>
          <w:sz w:val="24"/>
          <w:szCs w:val="24"/>
        </w:rPr>
        <w:t>：</w:t>
      </w:r>
      <w:r>
        <w:rPr>
          <w:rFonts w:hint="eastAsia"/>
          <w:b w:val="0"/>
          <w:bCs w:val="0"/>
          <w:color w:val="auto"/>
          <w:sz w:val="24"/>
          <w:szCs w:val="24"/>
          <w:lang w:val="en-US" w:eastAsia="zh-CN"/>
        </w:rPr>
        <w:t>该课程教学过程中可采取视频和实践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7</w:t>
      </w: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rPr>
        <w:t>汽车维修技术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通过该课程的学习，学生应能基本了解甚至熟悉汽车发动机和底盘各系统部件的一些基础性的故障诊断技术和基本诊断思路，能处理一些简单的故障。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本课程全面阐述了现代汽车各组成部分的检测原理、检测技能和基本维修知识。全书共15章，主要内容包括汽车维修基础知识、发动机机体组与曲轴连杆机构的检修、配气机构的检修、发动机电子控制系统的检修、柴油机燃料供给系的检修、润滑系和冷却系的检修、发动机的装配与磨合、离合器的检修、普通齿轮变速器的检修、自动变速器电子控制系统的检修、万向传动装置的检修、驱动桥的检修、转向系的检修、制动系的检修及ABS控制系统的检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视频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汽车检测与故障诊断技术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b/>
          <w:bCs/>
          <w:color w:val="auto"/>
          <w:sz w:val="24"/>
          <w:szCs w:val="24"/>
          <w:lang w:val="en-US" w:eastAsia="zh-CN"/>
        </w:rPr>
        <w:t>课程目标：</w:t>
      </w:r>
      <w:r>
        <w:rPr>
          <w:rFonts w:hint="eastAsia"/>
          <w:b w:val="0"/>
          <w:bCs w:val="0"/>
          <w:color w:val="auto"/>
          <w:sz w:val="24"/>
          <w:szCs w:val="24"/>
          <w:lang w:val="en-US" w:eastAsia="zh-CN"/>
        </w:rPr>
        <w:t>通过该课程的学习，学生应能基本了解甚至熟悉汽车发动机和底盘各系统部件的一些基础性的故障诊断技术和基本诊断思路，能处理一些简单常见的故障。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rPr>
      </w:pPr>
      <w:r>
        <w:rPr>
          <w:rFonts w:hint="eastAsia"/>
          <w:b/>
          <w:bCs/>
          <w:color w:val="auto"/>
          <w:sz w:val="24"/>
          <w:szCs w:val="24"/>
        </w:rPr>
        <w:t>主要内容：</w:t>
      </w:r>
      <w:r>
        <w:rPr>
          <w:rFonts w:hint="eastAsia"/>
          <w:color w:val="auto"/>
          <w:sz w:val="24"/>
          <w:szCs w:val="24"/>
        </w:rPr>
        <w:t>本课程主要讲授的是汽车发动机、汽车底盘、汽车电控系统与电器各系统检测与故障诊断技术，使学生获得汽车检测与故障诊断技术的基本知识，初步掌握汽车检测设备使用方法，用检测所得信息和汽车故障现象的特点，进行故障的逻辑分析和故障排除方法。具有一定汽车检测与故障诊断技术初步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b/>
          <w:bCs/>
          <w:color w:val="auto"/>
          <w:sz w:val="24"/>
          <w:szCs w:val="24"/>
          <w:lang w:val="en-US" w:eastAsia="zh-CN"/>
        </w:rPr>
        <w:t>教学要求：</w:t>
      </w:r>
      <w:r>
        <w:rPr>
          <w:rFonts w:hint="eastAsia"/>
          <w:b w:val="0"/>
          <w:bCs w:val="0"/>
          <w:color w:val="auto"/>
          <w:sz w:val="24"/>
          <w:szCs w:val="24"/>
          <w:lang w:val="en-US" w:eastAsia="zh-CN"/>
        </w:rPr>
        <w:t>该课程教学过程中可采取视频教学法和案例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发动机电控技术</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lang w:val="en-US" w:eastAsia="zh-CN"/>
        </w:rPr>
        <w:t>通过本课程教学，让学生</w:t>
      </w:r>
      <w:r>
        <w:rPr>
          <w:rFonts w:hint="eastAsia" w:ascii="宋体" w:hAnsi="宋体" w:eastAsia="宋体" w:cs="宋体"/>
          <w:color w:val="auto"/>
          <w:kern w:val="0"/>
          <w:sz w:val="24"/>
          <w:szCs w:val="24"/>
        </w:rPr>
        <w:t>掌握现代汽车电控发动机的</w:t>
      </w:r>
      <w:r>
        <w:rPr>
          <w:rFonts w:hint="eastAsia" w:ascii="宋体" w:hAnsi="宋体" w:eastAsia="宋体" w:cs="宋体"/>
          <w:color w:val="auto"/>
          <w:kern w:val="0"/>
          <w:sz w:val="24"/>
          <w:szCs w:val="24"/>
          <w:lang w:val="en-US" w:eastAsia="zh-CN"/>
        </w:rPr>
        <w:t>各系统</w:t>
      </w:r>
      <w:r>
        <w:rPr>
          <w:rFonts w:hint="eastAsia" w:ascii="宋体" w:hAnsi="宋体" w:eastAsia="宋体" w:cs="宋体"/>
          <w:color w:val="auto"/>
          <w:kern w:val="0"/>
          <w:sz w:val="24"/>
          <w:szCs w:val="24"/>
        </w:rPr>
        <w:t>结构、工作原理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熟悉发动机电控系统基本</w:t>
      </w:r>
      <w:r>
        <w:rPr>
          <w:rFonts w:hint="eastAsia" w:ascii="宋体" w:hAnsi="宋体" w:eastAsia="宋体" w:cs="宋体"/>
          <w:color w:val="auto"/>
          <w:kern w:val="0"/>
          <w:sz w:val="24"/>
          <w:szCs w:val="24"/>
          <w:lang w:eastAsia="zh-CN"/>
        </w:rPr>
        <w:t>故障检测与故障诊断方法</w:t>
      </w:r>
      <w:r>
        <w:rPr>
          <w:rFonts w:hint="eastAsia" w:ascii="宋体" w:hAnsi="宋体" w:eastAsia="宋体" w:cs="宋体"/>
          <w:color w:val="auto"/>
          <w:kern w:val="0"/>
          <w:sz w:val="24"/>
          <w:szCs w:val="24"/>
          <w:lang w:val="en-US" w:eastAsia="zh-CN"/>
        </w:rPr>
        <w:t>,为学生以后从事汽车维修相关岗位打下理论基础</w:t>
      </w:r>
      <w:r>
        <w:rPr>
          <w:rFonts w:hint="eastAsia" w:ascii="宋体" w:hAnsi="宋体" w:eastAsia="宋体" w:cs="宋体"/>
          <w:color w:val="auto"/>
          <w:kern w:val="0"/>
          <w:sz w:val="24"/>
          <w:szCs w:val="24"/>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主要讲授的是电子控制燃油喷射系统、电子点火系统控制、发动机怠速控制系统、发动机排气净化与排放控制、发动机辅助控制、典型汽车电子控制系统、电子控制系统故障诊断与维修、常用故障诊断仪器与设备等。让学生掌握发动机计算机控制系统的组成、工作原理和性能的检测方法；通过实验，掌握一些典型车型的传感器与执行器的结构和工作原理，学会电控系统检测仪器的使用方法，掌握传感器与执行器的检查步骤和方法，能利用相关的设备进行故障码的读取和分析，并对发动机电控系统进行一些基本检测与故障诊断。</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eastAsiaTheme="minorEastAsia"/>
          <w:color w:val="auto"/>
          <w:sz w:val="24"/>
          <w:szCs w:val="24"/>
          <w:lang w:eastAsia="zh-CN"/>
        </w:rPr>
      </w:pPr>
      <w:r>
        <w:rPr>
          <w:rFonts w:hint="eastAsia"/>
          <w:b/>
          <w:color w:val="auto"/>
          <w:sz w:val="24"/>
          <w:szCs w:val="24"/>
        </w:rPr>
        <w:t>教学要求：</w:t>
      </w:r>
      <w:r>
        <w:rPr>
          <w:rFonts w:hint="eastAsia"/>
          <w:color w:val="auto"/>
          <w:sz w:val="24"/>
          <w:szCs w:val="24"/>
        </w:rPr>
        <w:t>该课程教学过程中可采取案例教学法，结合学生已经完成的实训课程，运用网络上的视频、动画资源进行讲解，配合部分实物展示，使学生身临其境，在掌握</w:t>
      </w:r>
      <w:r>
        <w:rPr>
          <w:rFonts w:hint="eastAsia"/>
          <w:color w:val="auto"/>
          <w:sz w:val="24"/>
          <w:szCs w:val="24"/>
          <w:lang w:eastAsia="zh-CN"/>
        </w:rPr>
        <w:t>发动机电控技术</w:t>
      </w:r>
      <w:r>
        <w:rPr>
          <w:rFonts w:hint="eastAsia"/>
          <w:color w:val="auto"/>
          <w:sz w:val="24"/>
          <w:szCs w:val="24"/>
        </w:rPr>
        <w:t>理论知识的同时，实践能力得以提高。</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汽车底盘电控制技术</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通过本课程教学，让学生</w:t>
      </w:r>
      <w:r>
        <w:rPr>
          <w:rFonts w:hint="eastAsia" w:ascii="宋体" w:hAnsi="宋体" w:eastAsia="宋体" w:cs="宋体"/>
          <w:color w:val="auto"/>
          <w:kern w:val="0"/>
          <w:sz w:val="24"/>
          <w:szCs w:val="24"/>
        </w:rPr>
        <w:t>掌握现代汽车</w:t>
      </w:r>
      <w:r>
        <w:rPr>
          <w:rFonts w:hint="eastAsia" w:ascii="宋体" w:hAnsi="宋体" w:eastAsia="宋体" w:cs="宋体"/>
          <w:color w:val="auto"/>
          <w:kern w:val="0"/>
          <w:sz w:val="24"/>
          <w:szCs w:val="24"/>
          <w:lang w:val="en-US" w:eastAsia="zh-CN"/>
        </w:rPr>
        <w:t>底盘</w:t>
      </w:r>
      <w:r>
        <w:rPr>
          <w:rFonts w:hint="eastAsia" w:ascii="宋体" w:hAnsi="宋体" w:eastAsia="宋体" w:cs="宋体"/>
          <w:color w:val="auto"/>
          <w:kern w:val="0"/>
          <w:sz w:val="24"/>
          <w:szCs w:val="24"/>
        </w:rPr>
        <w:t>电控的</w:t>
      </w:r>
      <w:r>
        <w:rPr>
          <w:rFonts w:hint="eastAsia" w:ascii="宋体" w:hAnsi="宋体" w:eastAsia="宋体" w:cs="宋体"/>
          <w:color w:val="auto"/>
          <w:kern w:val="0"/>
          <w:sz w:val="24"/>
          <w:szCs w:val="24"/>
          <w:lang w:val="en-US" w:eastAsia="zh-CN"/>
        </w:rPr>
        <w:t>各系统</w:t>
      </w:r>
      <w:r>
        <w:rPr>
          <w:rFonts w:hint="eastAsia" w:ascii="宋体" w:hAnsi="宋体" w:eastAsia="宋体" w:cs="宋体"/>
          <w:color w:val="auto"/>
          <w:kern w:val="0"/>
          <w:sz w:val="24"/>
          <w:szCs w:val="24"/>
        </w:rPr>
        <w:t>结构、工作原理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熟悉发动机电控系统基本</w:t>
      </w:r>
      <w:r>
        <w:rPr>
          <w:rFonts w:hint="eastAsia" w:ascii="宋体" w:hAnsi="宋体" w:eastAsia="宋体" w:cs="宋体"/>
          <w:color w:val="auto"/>
          <w:kern w:val="0"/>
          <w:sz w:val="24"/>
          <w:szCs w:val="24"/>
          <w:lang w:eastAsia="zh-CN"/>
        </w:rPr>
        <w:t>故障检测与诊断方法，</w:t>
      </w:r>
      <w:r>
        <w:rPr>
          <w:rFonts w:hint="eastAsia" w:ascii="宋体" w:hAnsi="宋体" w:eastAsia="宋体" w:cs="宋体"/>
          <w:color w:val="auto"/>
          <w:kern w:val="0"/>
          <w:sz w:val="24"/>
          <w:szCs w:val="24"/>
          <w:lang w:val="en-US" w:eastAsia="zh-CN"/>
        </w:rPr>
        <w:t>为学生以后从事汽车维修相关岗位打下理论基础</w:t>
      </w:r>
      <w:r>
        <w:rPr>
          <w:rFonts w:hint="eastAsia" w:ascii="宋体" w:hAnsi="宋体" w:eastAsia="宋体" w:cs="宋体"/>
          <w:color w:val="auto"/>
          <w:kern w:val="0"/>
          <w:sz w:val="24"/>
          <w:szCs w:val="24"/>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主要讲授的是自动变速器的结构原理、汽车ABS/ASR系统、悬架控制系统和巡航控制系统、汽车动力转向等，结合实验让学生掌握自动变速器等系统的结构组成、工作原理及性能特点，熟悉自动变速器及底盘电子控制系统的故障检测方法，具有初步检修自动变速器的能力；掌握汽车底盘电子控制系统传感器和执行器的结构、工作原理和检测方法，学会读取</w:t>
      </w:r>
      <w:r>
        <w:rPr>
          <w:rFonts w:hint="eastAsia" w:ascii="宋体" w:hAnsi="宋体" w:eastAsia="宋体" w:cs="宋体"/>
          <w:color w:val="auto"/>
          <w:sz w:val="24"/>
          <w:szCs w:val="24"/>
        </w:rPr>
        <w:t>和分析各系统的故障码，并对其进行故障诊断。</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color w:val="auto"/>
          <w:sz w:val="24"/>
          <w:szCs w:val="24"/>
        </w:rPr>
      </w:pPr>
      <w:r>
        <w:rPr>
          <w:rFonts w:hint="eastAsia"/>
          <w:b/>
          <w:color w:val="auto"/>
          <w:sz w:val="24"/>
          <w:szCs w:val="24"/>
        </w:rPr>
        <w:t>教学要求：</w:t>
      </w:r>
      <w:r>
        <w:rPr>
          <w:rFonts w:hint="eastAsia"/>
          <w:color w:val="auto"/>
          <w:sz w:val="24"/>
          <w:szCs w:val="24"/>
        </w:rPr>
        <w:t>该课程教学过程中可采取案例教学法，结合学生已经完成的实训课程，运用网络上的视频、动画资源进行讲解，配合部分实物展示，使学生身临其境，在掌握汽车</w:t>
      </w:r>
      <w:r>
        <w:rPr>
          <w:rFonts w:hint="eastAsia"/>
          <w:color w:val="auto"/>
          <w:sz w:val="24"/>
          <w:szCs w:val="24"/>
          <w:lang w:eastAsia="zh-CN"/>
        </w:rPr>
        <w:t>底盘电控技术</w:t>
      </w:r>
      <w:r>
        <w:rPr>
          <w:rFonts w:hint="eastAsia"/>
          <w:color w:val="auto"/>
          <w:sz w:val="24"/>
          <w:szCs w:val="24"/>
        </w:rPr>
        <w:t>理论知识的同时，实践能力得以提高。</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（11）</w:t>
      </w:r>
      <w:r>
        <w:rPr>
          <w:rFonts w:hint="eastAsia" w:ascii="宋体" w:hAnsi="宋体" w:eastAsia="宋体" w:cs="宋体"/>
          <w:b/>
          <w:color w:val="auto"/>
          <w:sz w:val="24"/>
          <w:szCs w:val="24"/>
        </w:rPr>
        <w:t>汽车及配件营销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通过该课程学习</w:t>
      </w:r>
      <w:r>
        <w:rPr>
          <w:rFonts w:hint="eastAsia" w:ascii="宋体" w:hAnsi="宋体" w:eastAsia="宋体" w:cs="宋体"/>
          <w:color w:val="auto"/>
          <w:sz w:val="24"/>
          <w:szCs w:val="24"/>
        </w:rPr>
        <w:t>了解汽车市场营销观念、研究方法，熟悉顾客价值、关系营销、汽车服务市场营销等基本理论;</w:t>
      </w:r>
      <w:bookmarkStart w:id="0" w:name="_Toc312323661"/>
      <w:bookmarkStart w:id="1" w:name="_Toc312323527"/>
      <w:bookmarkStart w:id="2" w:name="_Toc311571283"/>
      <w:r>
        <w:rPr>
          <w:rFonts w:hint="eastAsia" w:ascii="宋体" w:hAnsi="宋体" w:eastAsia="宋体" w:cs="宋体"/>
          <w:color w:val="auto"/>
          <w:sz w:val="24"/>
          <w:szCs w:val="24"/>
        </w:rPr>
        <w:t>掌握汽车市场营销的基本方法，顾客价值和顾客满意的内涵及其测度，顾客赢利率分析的基本方法，市场营销资源分配的基本方法和技术、营销调研的方法等；</w:t>
      </w:r>
      <w:bookmarkEnd w:id="0"/>
      <w:bookmarkEnd w:id="1"/>
      <w:bookmarkEnd w:id="2"/>
      <w:bookmarkStart w:id="3" w:name="_Toc312323662"/>
      <w:bookmarkStart w:id="4" w:name="_Toc312323528"/>
      <w:bookmarkStart w:id="5" w:name="_Toc311571284"/>
      <w:r>
        <w:rPr>
          <w:rFonts w:hint="eastAsia" w:ascii="宋体" w:hAnsi="宋体" w:eastAsia="宋体" w:cs="宋体"/>
          <w:color w:val="auto"/>
          <w:sz w:val="24"/>
          <w:szCs w:val="24"/>
        </w:rPr>
        <w:t>基本掌握汽车市场营销环境的基本内容、市场细分方法；</w:t>
      </w:r>
      <w:bookmarkEnd w:id="3"/>
      <w:bookmarkEnd w:id="4"/>
      <w:bookmarkEnd w:id="5"/>
      <w:bookmarkStart w:id="6" w:name="_Toc312323663"/>
      <w:bookmarkStart w:id="7" w:name="_Toc312323529"/>
      <w:bookmarkStart w:id="8" w:name="_Toc311571285"/>
      <w:r>
        <w:rPr>
          <w:rFonts w:hint="eastAsia" w:ascii="宋体" w:hAnsi="宋体" w:eastAsia="宋体" w:cs="宋体"/>
          <w:color w:val="auto"/>
          <w:sz w:val="24"/>
          <w:szCs w:val="24"/>
        </w:rPr>
        <w:t>具有汽车市场营销策划的初步能力，能用细分方法确定目标市场和进行产品服务和定位。</w:t>
      </w:r>
      <w:bookmarkEnd w:id="6"/>
      <w:bookmarkEnd w:id="7"/>
      <w:bookmarkEnd w:id="8"/>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该门课程主要学习中国汽车市场、汽车市场营销环境分析、汽车市场细分与目标市场选择、汽车用户购买行为分析、汽车市场调查与市场预测、汽车产品营销策略、汽车价格营销策略、汽车分销渠道策略、汽车促销策略、汽车营销实务、汽车配件营销、汽车网络营销与电子商务等的主要学习。通过该门课程的学习为今后营销相应实践做好准备。</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在教学过程中，理论教学充分利用多媒体教学方法，大量运用音频、视频、动画、图片等教学资源，贯彻启发式教学原则，充分调动学生的学习积极性，发挥他们的主体作用，努力提高教学效果；通过技能训练引出相关概念、具体操作技巧，体现做中学、学中练的教学思路；鼓励学生课后积极主动完成各训练项目，巩固各项技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（12）</w:t>
      </w:r>
      <w:r>
        <w:rPr>
          <w:rFonts w:hint="eastAsia" w:ascii="宋体" w:hAnsi="宋体" w:eastAsia="宋体" w:cs="宋体"/>
          <w:b/>
          <w:bCs/>
          <w:color w:val="auto"/>
          <w:sz w:val="24"/>
          <w:szCs w:val="24"/>
          <w:lang w:val="en-US" w:eastAsia="zh-CN"/>
        </w:rPr>
        <w:t>汽车美容与装饰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本课程的教学，学生熟知并掌握汽车装饰与美容技术在我国的发展现状、汽车装饰、美容的基本知识、汽车装饰过程中常用的装饰件、工具、设备、的使用，装饰的基本方法和技巧。了解各种美容护理产品的特点、功能、作用及使用方法等方面的知识，为进一步熟练和掌握操作技能奠定基础，为学生以后从事汽车美容行业的工作打下一定的重要的理论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该课程是高职教育汽车检测维修类专业专门化方向课程之一。本课程主要讲解了汽车内外部装饰、汽车防护、汽车车身及内部清洁、汽车漆面养护的操作方法以及注意事项,为学生以后从事汽车美容行业的工作打下一定的重要的理论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案例教学法，结合本学期的汽车美容与装饰实训，运用网络上的视频资源进行讲解，使学生身临其境，使学生对于汽车装饰和美容所需要的工具器材、设备和用品等，以及操作步骤和要领掌握的更加牢靠。考核标准应与本专业学生汽车维修中级工理论考试和汽车维修工上岗条件相结合，使学生达到相应的理论水平和上岗条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(13)汽车新能源</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使学生系统的掌握电动汽车的基本概念、类型、结构原理和工作特性，了解电动汽车的基本设计方法，为做好毕业实习报告以及今后从事汽车技术工作打下基础。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本课程主要介绍了新能源汽车发展概况、电动汽车类型、电动汽车主要组成部分、电动汽车电机、蓄电池、电动汽车维修与包养等内容，同时介绍了国家现行的有关管理法规和政策，有一定的理论深度，是从事汽车行业人员在新能源汽车领域学习和参考的实用教程和资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使学生了解新能源汽车国内外最新发展动态和国内相关政策；掌握电动汽车的基本原理与结构；了解电动汽车常用的动力电池的基本原理与结构、工作特性；了解电动汽车电池能量管理系统的功能；了解电动汽车常用驱动电机的基本结构原理与驱动特性；掌握电动汽车的行驶性能的基本计算方法；了解电动汽车保养和维护的相关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val="0"/>
          <w:color w:val="auto"/>
          <w:sz w:val="24"/>
          <w:szCs w:val="24"/>
          <w:lang w:val="en-US" w:eastAsia="zh-CN"/>
        </w:rPr>
        <w:t>通过本课程学习，主要让学生了解新能源汽车技术以及优势。了解行业发展动态，促进职业意识的形成，为学生毕业后择业提供可以借鉴和参照的新思想和新观念。</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（14）发动机实习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：通过汽油发动机大修工艺的实训，要求掌握发动机曲柄连杆机构、配气机构、燃油供给系、冷却系、润滑系机及各部件的检修知识，使学生具备汽油发动机维修与检测技能。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主要内容包括实习入门与安全教育、发动机总体构造及总成拆卸、发动机曲柄连杆机构检修、发动机配气机构检修、发动机润滑系统检修、发动机冷却系统检修、发动机总装、磨合与热试。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通过该课程教学，让学生掌握发动机各系统基本维修技能，熟练使用汽车发动机检测维修设备、工具。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（15）汽车底盘实习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lang w:val="en-US" w:eastAsia="zh-CN"/>
        </w:rPr>
        <w:t>课程目标：</w:t>
      </w:r>
      <w:r>
        <w:rPr>
          <w:rFonts w:hint="eastAsia" w:ascii="宋体" w:hAnsi="宋体" w:eastAsia="宋体" w:cs="宋体"/>
          <w:color w:val="auto"/>
          <w:sz w:val="24"/>
          <w:szCs w:val="24"/>
          <w:lang w:val="en-US" w:eastAsia="zh-CN"/>
        </w:rPr>
        <w:t>通过学生汽车底盘工艺的实训，要求学生掌握汽车传动系、汽车行驶系、汽车转向系、汽车制动系等汽车底盘的维修工艺，包括货车底盘、轿车底盘的基本维修与检测知识。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主</w:t>
      </w:r>
      <w:r>
        <w:rPr>
          <w:rFonts w:hint="eastAsia" w:ascii="宋体" w:hAnsi="宋体" w:eastAsia="宋体" w:cs="宋体"/>
          <w:color w:val="auto"/>
          <w:sz w:val="24"/>
          <w:szCs w:val="24"/>
        </w:rPr>
        <w:t>要内容</w:t>
      </w:r>
      <w:r>
        <w:rPr>
          <w:rFonts w:hint="eastAsia" w:ascii="宋体" w:hAnsi="宋体" w:eastAsia="宋体" w:cs="宋体"/>
          <w:color w:val="auto"/>
          <w:sz w:val="24"/>
          <w:szCs w:val="24"/>
          <w:lang w:val="en-US" w:eastAsia="zh-CN"/>
        </w:rPr>
        <w:t>：</w:t>
      </w:r>
      <w:r>
        <w:rPr>
          <w:rFonts w:hint="eastAsia" w:ascii="宋体" w:hAnsi="宋体" w:eastAsia="宋体" w:cs="宋体"/>
          <w:b w:val="0"/>
          <w:bCs w:val="0"/>
          <w:color w:val="auto"/>
          <w:sz w:val="24"/>
          <w:szCs w:val="24"/>
          <w:lang w:val="en-US" w:eastAsia="zh-CN"/>
        </w:rPr>
        <w:t>包括</w:t>
      </w:r>
      <w:r>
        <w:rPr>
          <w:rFonts w:hint="eastAsia" w:ascii="宋体" w:hAnsi="宋体" w:eastAsia="宋体" w:cs="宋体"/>
          <w:color w:val="auto"/>
          <w:sz w:val="24"/>
          <w:szCs w:val="24"/>
          <w:lang w:val="en-US" w:eastAsia="zh-CN"/>
        </w:rPr>
        <w:t>汽车底盘</w:t>
      </w:r>
      <w:r>
        <w:rPr>
          <w:rFonts w:hint="eastAsia" w:ascii="宋体" w:hAnsi="宋体" w:eastAsia="宋体" w:cs="宋体"/>
          <w:b w:val="0"/>
          <w:bCs w:val="0"/>
          <w:color w:val="auto"/>
          <w:sz w:val="24"/>
          <w:szCs w:val="24"/>
          <w:lang w:val="en-US" w:eastAsia="zh-CN"/>
        </w:rPr>
        <w:t>实习安全教育，</w:t>
      </w:r>
      <w:r>
        <w:rPr>
          <w:rFonts w:hint="eastAsia" w:ascii="宋体" w:hAnsi="宋体" w:eastAsia="宋体" w:cs="宋体"/>
          <w:color w:val="auto"/>
          <w:sz w:val="24"/>
          <w:szCs w:val="24"/>
          <w:lang w:val="en-US" w:eastAsia="zh-CN"/>
        </w:rPr>
        <w:t>汽车传动系、汽车行驶系、汽车转向系、汽车制动系等汽车底盘的维修工艺，主要包括变速器、离合器、鼓式制动器、盘式制动器、液压制动系统、气压制动系统、扒胎、轮胎动平衡、四轮定位、方向机等汽车底盘检测与维修，同时学习汽车底盘检测与维修设备使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考核方式：</w:t>
      </w:r>
      <w:r>
        <w:rPr>
          <w:rFonts w:hint="eastAsia" w:ascii="宋体" w:hAnsi="宋体" w:eastAsia="宋体" w:cs="宋体"/>
          <w:b w:val="0"/>
          <w:bCs w:val="0"/>
          <w:color w:val="auto"/>
          <w:sz w:val="24"/>
          <w:szCs w:val="24"/>
          <w:lang w:val="en-US" w:eastAsia="zh-CN"/>
        </w:rPr>
        <w:t>通过该课程教学，让学生掌握汽车底盘各系统基本维修技能，熟练使用汽车底盘检测维修设备、工具。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（16）汽车电器与电子控制技术实习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课程目标</w:t>
      </w:r>
      <w:r>
        <w:rPr>
          <w:rFonts w:hint="eastAsia" w:ascii="宋体" w:hAnsi="宋体" w:eastAsia="宋体" w:cs="宋体"/>
          <w:color w:val="auto"/>
          <w:sz w:val="24"/>
          <w:szCs w:val="24"/>
        </w:rPr>
        <w:t>：通过对汽车电器、电控发动机、汽车底盘电控技术的实训，要求学生掌握汽车电器、电控发动机、汽车底盘电子控制技术检测与维修的基本知识，使学生具备对汽车电器、电控发动机、汽车底盘电子控制技术检测维修与故障诊断基本能力，会熟练地运用汽车诊断仪器和设备。并通过中级汽修工综合训练，使学生具备中级汽修工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包括实习安全教育、汽车诊断设备的认知与使用、电控发动机检测与故障诊</w:t>
      </w:r>
      <w:r>
        <w:rPr>
          <w:rFonts w:hint="eastAsia" w:ascii="宋体" w:hAnsi="宋体" w:eastAsia="宋体" w:cs="宋体"/>
          <w:b w:val="0"/>
          <w:bCs w:val="0"/>
          <w:color w:val="auto"/>
          <w:sz w:val="24"/>
          <w:szCs w:val="24"/>
          <w:lang w:val="en-US" w:eastAsia="zh-CN"/>
        </w:rPr>
        <w:t>断、汽车电器试验台检测与故障诊断、自动变速器的拆装与控制部分的分析、</w:t>
      </w:r>
      <w:r>
        <w:rPr>
          <w:rFonts w:hint="eastAsia" w:ascii="宋体" w:hAnsi="宋体" w:eastAsia="宋体" w:cs="宋体"/>
          <w:color w:val="auto"/>
          <w:sz w:val="24"/>
          <w:szCs w:val="24"/>
          <w:lang w:val="en-US" w:eastAsia="zh-CN"/>
        </w:rPr>
        <w:t>中级汽修工综合训练</w:t>
      </w:r>
      <w:r>
        <w:rPr>
          <w:rFonts w:hint="eastAsia" w:ascii="宋体" w:hAnsi="宋体" w:eastAsia="宋体" w:cs="宋体"/>
          <w:b w:val="0"/>
          <w:bCs w:val="0"/>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：课程教学过程中可采取实践教学法，结合学习的发动机构造理论，汽车电器，发动机电控，汽车故障诊断，汽车底盘电控技术等课程，教师和学生共同实践，使学生理论和实践相结合，使汽车</w:t>
      </w:r>
      <w:r>
        <w:rPr>
          <w:rFonts w:hint="eastAsia" w:ascii="宋体" w:hAnsi="宋体" w:eastAsia="宋体" w:cs="宋体"/>
          <w:b w:val="0"/>
          <w:bCs w:val="0"/>
          <w:color w:val="auto"/>
          <w:sz w:val="24"/>
          <w:szCs w:val="24"/>
          <w:lang w:val="en-US" w:eastAsia="zh-CN"/>
        </w:rPr>
        <w:t>电器和电子控制技术得以提高和掌握。考核标准应与本专业学生汽车维修中级工理论考试和汽车维修工上岗条件相结合，使学生达到相应的理论水平和上岗条件。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校内综合技能训练</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rPr>
        <w:t>校内综合技能训练是</w:t>
      </w:r>
      <w:r>
        <w:rPr>
          <w:rFonts w:hint="eastAsia" w:ascii="宋体" w:hAnsi="宋体" w:eastAsia="宋体" w:cs="宋体"/>
          <w:color w:val="auto"/>
          <w:sz w:val="24"/>
          <w:lang w:eastAsia="zh-CN"/>
        </w:rPr>
        <w:t>本</w:t>
      </w:r>
      <w:r>
        <w:rPr>
          <w:rFonts w:hint="eastAsia" w:ascii="宋体" w:hAnsi="宋体" w:eastAsia="宋体" w:cs="宋体"/>
          <w:color w:val="auto"/>
          <w:sz w:val="24"/>
        </w:rPr>
        <w:t>专业的一门</w:t>
      </w:r>
      <w:r>
        <w:rPr>
          <w:rFonts w:hint="eastAsia" w:ascii="宋体" w:hAnsi="宋体" w:eastAsia="宋体" w:cs="宋体"/>
          <w:color w:val="auto"/>
          <w:sz w:val="24"/>
          <w:lang w:eastAsia="zh-CN"/>
        </w:rPr>
        <w:t>专业</w:t>
      </w:r>
      <w:r>
        <w:rPr>
          <w:rFonts w:hint="eastAsia" w:ascii="宋体" w:hAnsi="宋体" w:eastAsia="宋体" w:cs="宋体"/>
          <w:color w:val="auto"/>
          <w:sz w:val="24"/>
        </w:rPr>
        <w:t>课</w:t>
      </w:r>
      <w:r>
        <w:rPr>
          <w:rFonts w:hint="eastAsia" w:ascii="宋体" w:hAnsi="宋体" w:eastAsia="宋体" w:cs="宋体"/>
          <w:color w:val="auto"/>
          <w:sz w:val="24"/>
          <w:lang w:eastAsia="zh-CN"/>
        </w:rPr>
        <w:t>，</w:t>
      </w:r>
      <w:r>
        <w:rPr>
          <w:rFonts w:hint="eastAsia" w:ascii="宋体" w:hAnsi="宋体" w:eastAsia="宋体" w:cs="宋体"/>
          <w:color w:val="auto"/>
          <w:sz w:val="24"/>
        </w:rPr>
        <w:t>旨</w:t>
      </w:r>
      <w:r>
        <w:rPr>
          <w:rFonts w:hint="eastAsia" w:ascii="宋体" w:hAnsi="宋体" w:eastAsia="宋体" w:cs="宋体"/>
          <w:color w:val="auto"/>
          <w:sz w:val="24"/>
          <w:lang w:eastAsia="zh-CN"/>
        </w:rPr>
        <w:t>在建立</w:t>
      </w:r>
      <w:r>
        <w:rPr>
          <w:rFonts w:hint="eastAsia" w:ascii="宋体" w:hAnsi="宋体" w:eastAsia="宋体" w:cs="宋体"/>
          <w:color w:val="auto"/>
          <w:sz w:val="24"/>
        </w:rPr>
        <w:t>校内综合技能训练的平台，为学生就业作准备。通过</w:t>
      </w:r>
      <w:r>
        <w:rPr>
          <w:rFonts w:hint="eastAsia" w:ascii="宋体" w:hAnsi="宋体" w:eastAsia="宋体" w:cs="宋体"/>
          <w:color w:val="auto"/>
          <w:sz w:val="24"/>
          <w:lang w:eastAsia="zh-CN"/>
        </w:rPr>
        <w:t>本</w:t>
      </w:r>
      <w:r>
        <w:rPr>
          <w:rFonts w:hint="eastAsia" w:ascii="宋体" w:hAnsi="宋体" w:eastAsia="宋体" w:cs="宋体"/>
          <w:color w:val="auto"/>
          <w:sz w:val="24"/>
        </w:rPr>
        <w:t>课程的学习，培养学生具备机修钳工操作职业、岗位或工种的实际工作能力，具备在设备维修工作岗位上所必需的相关知识、技术标准、工作规范等。</w:t>
      </w:r>
      <w:r>
        <w:rPr>
          <w:rFonts w:hint="eastAsia" w:ascii="宋体" w:hAnsi="宋体" w:eastAsia="宋体" w:cs="宋体"/>
          <w:color w:val="auto"/>
          <w:sz w:val="24"/>
          <w:lang w:eastAsia="zh-CN"/>
        </w:rPr>
        <w:t>使学生进一步</w:t>
      </w:r>
      <w:r>
        <w:rPr>
          <w:rFonts w:hint="eastAsia" w:ascii="宋体" w:hAnsi="宋体" w:eastAsia="宋体" w:cs="宋体"/>
          <w:color w:val="auto"/>
          <w:sz w:val="24"/>
        </w:rPr>
        <w:t>掌握</w:t>
      </w:r>
      <w:r>
        <w:rPr>
          <w:rFonts w:hint="eastAsia" w:ascii="宋体" w:hAnsi="宋体" w:eastAsia="宋体" w:cs="宋体"/>
          <w:color w:val="auto"/>
          <w:sz w:val="24"/>
          <w:lang w:eastAsia="zh-CN"/>
        </w:rPr>
        <w:t>和提高在</w:t>
      </w:r>
      <w:r>
        <w:rPr>
          <w:rFonts w:hint="eastAsia" w:ascii="宋体" w:hAnsi="宋体" w:eastAsia="宋体" w:cs="宋体"/>
          <w:color w:val="auto"/>
          <w:sz w:val="24"/>
        </w:rPr>
        <w:t>焊接、</w:t>
      </w:r>
      <w:r>
        <w:rPr>
          <w:rFonts w:hint="eastAsia" w:ascii="宋体" w:hAnsi="宋体" w:eastAsia="宋体" w:cs="宋体"/>
          <w:color w:val="auto"/>
          <w:sz w:val="24"/>
          <w:lang w:eastAsia="zh-CN"/>
        </w:rPr>
        <w:t>钳工</w:t>
      </w:r>
      <w:r>
        <w:rPr>
          <w:rFonts w:hint="eastAsia" w:ascii="宋体" w:hAnsi="宋体" w:eastAsia="宋体" w:cs="宋体"/>
          <w:color w:val="auto"/>
          <w:sz w:val="24"/>
        </w:rPr>
        <w:t>、</w:t>
      </w:r>
      <w:r>
        <w:rPr>
          <w:rFonts w:hint="eastAsia" w:ascii="宋体" w:hAnsi="宋体" w:eastAsia="宋体" w:cs="宋体"/>
          <w:color w:val="auto"/>
          <w:sz w:val="24"/>
          <w:lang w:eastAsia="zh-CN"/>
        </w:rPr>
        <w:t>汽车美容</w:t>
      </w:r>
      <w:r>
        <w:rPr>
          <w:rFonts w:hint="eastAsia" w:ascii="宋体" w:hAnsi="宋体" w:eastAsia="宋体" w:cs="宋体"/>
          <w:color w:val="auto"/>
          <w:sz w:val="24"/>
        </w:rPr>
        <w:t>、</w:t>
      </w:r>
      <w:r>
        <w:rPr>
          <w:rFonts w:hint="eastAsia" w:ascii="宋体" w:hAnsi="宋体" w:eastAsia="宋体" w:cs="宋体"/>
          <w:color w:val="auto"/>
          <w:sz w:val="24"/>
          <w:lang w:eastAsia="zh-CN"/>
        </w:rPr>
        <w:t>汽车保养</w:t>
      </w:r>
      <w:r>
        <w:rPr>
          <w:rFonts w:hint="eastAsia" w:ascii="宋体" w:hAnsi="宋体" w:eastAsia="宋体" w:cs="宋体"/>
          <w:color w:val="auto"/>
          <w:sz w:val="24"/>
        </w:rPr>
        <w:t>操作等</w:t>
      </w:r>
      <w:r>
        <w:rPr>
          <w:rFonts w:hint="eastAsia" w:ascii="宋体" w:hAnsi="宋体" w:eastAsia="宋体" w:cs="宋体"/>
          <w:color w:val="auto"/>
          <w:sz w:val="24"/>
          <w:lang w:eastAsia="zh-CN"/>
        </w:rPr>
        <w:t>方面的</w:t>
      </w:r>
      <w:r>
        <w:rPr>
          <w:rFonts w:hint="eastAsia" w:ascii="宋体" w:hAnsi="宋体" w:eastAsia="宋体" w:cs="宋体"/>
          <w:color w:val="auto"/>
          <w:sz w:val="24"/>
        </w:rPr>
        <w:t>技能。</w:t>
      </w:r>
      <w:r>
        <w:rPr>
          <w:rFonts w:hint="eastAsia" w:ascii="宋体" w:hAnsi="宋体" w:eastAsia="宋体" w:cs="宋体"/>
          <w:color w:val="auto"/>
          <w:sz w:val="24"/>
          <w:lang w:eastAsia="zh-CN"/>
        </w:rPr>
        <w:t>同时培养学生爱岗敬业、诚实守信、团队协作的良好职业道德和敬业精神。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b w:val="0"/>
          <w:bCs w:val="0"/>
          <w:color w:val="auto"/>
          <w:sz w:val="24"/>
          <w:szCs w:val="24"/>
          <w:lang w:eastAsia="zh-CN"/>
        </w:rPr>
        <w:t>本课程共分为四个训练模块。综合技能训练一：钳工综合训练，主要有</w:t>
      </w:r>
      <w:r>
        <w:rPr>
          <w:rFonts w:hint="eastAsia" w:ascii="宋体" w:hAnsi="宋体" w:eastAsia="宋体" w:cs="宋体"/>
          <w:b w:val="0"/>
          <w:bCs w:val="0"/>
          <w:color w:val="auto"/>
          <w:sz w:val="24"/>
          <w:szCs w:val="24"/>
        </w:rPr>
        <w:t>锤击训练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錾削训练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二</w:t>
      </w:r>
      <w:r>
        <w:rPr>
          <w:rFonts w:hint="eastAsia" w:ascii="宋体" w:hAnsi="宋体" w:eastAsia="宋体" w:cs="宋体"/>
          <w:b w:val="0"/>
          <w:bCs w:val="0"/>
          <w:color w:val="auto"/>
          <w:kern w:val="0"/>
          <w:sz w:val="24"/>
        </w:rPr>
        <w:t>：焊工实训</w:t>
      </w:r>
      <w:r>
        <w:rPr>
          <w:rFonts w:hint="eastAsia" w:ascii="宋体" w:hAnsi="宋体" w:eastAsia="宋体" w:cs="宋体"/>
          <w:b w:val="0"/>
          <w:bCs w:val="0"/>
          <w:color w:val="auto"/>
          <w:kern w:val="0"/>
          <w:sz w:val="24"/>
          <w:lang w:eastAsia="zh-CN"/>
        </w:rPr>
        <w:t>，</w:t>
      </w:r>
      <w:r>
        <w:rPr>
          <w:rFonts w:hint="eastAsia" w:ascii="宋体" w:hAnsi="宋体" w:eastAsia="宋体" w:cs="宋体"/>
          <w:b w:val="0"/>
          <w:bCs w:val="0"/>
          <w:color w:val="auto"/>
          <w:sz w:val="24"/>
          <w:szCs w:val="24"/>
          <w:lang w:eastAsia="zh-CN"/>
        </w:rPr>
        <w:t>主要有</w:t>
      </w:r>
      <w:r>
        <w:rPr>
          <w:rFonts w:hint="eastAsia" w:ascii="宋体" w:hAnsi="宋体" w:eastAsia="宋体" w:cs="宋体"/>
          <w:b w:val="0"/>
          <w:bCs w:val="0"/>
          <w:color w:val="auto"/>
          <w:sz w:val="24"/>
          <w:szCs w:val="24"/>
        </w:rPr>
        <w:t>等离子切割及气焊，气割</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汽车钣金加工工艺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电弧焊基本操作技术训练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氩弧焊工艺</w:t>
      </w:r>
      <w:r>
        <w:rPr>
          <w:rFonts w:hint="eastAsia" w:ascii="宋体" w:hAnsi="宋体" w:eastAsia="宋体" w:cs="宋体"/>
          <w:b w:val="0"/>
          <w:bCs w:val="0"/>
          <w:color w:val="auto"/>
          <w:sz w:val="24"/>
          <w:szCs w:val="24"/>
          <w:lang w:eastAsia="zh-CN"/>
        </w:rPr>
        <w:t>；包括、</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三</w:t>
      </w:r>
      <w:r>
        <w:rPr>
          <w:rFonts w:hint="eastAsia" w:ascii="宋体" w:hAnsi="宋体" w:eastAsia="宋体" w:cs="宋体"/>
          <w:b w:val="0"/>
          <w:bCs w:val="0"/>
          <w:color w:val="auto"/>
          <w:kern w:val="0"/>
          <w:sz w:val="24"/>
        </w:rPr>
        <w:t>：</w:t>
      </w:r>
      <w:r>
        <w:rPr>
          <w:rFonts w:hint="eastAsia" w:ascii="宋体" w:hAnsi="宋体" w:eastAsia="宋体" w:cs="宋体"/>
          <w:b w:val="0"/>
          <w:bCs w:val="0"/>
          <w:color w:val="auto"/>
          <w:sz w:val="24"/>
          <w:szCs w:val="24"/>
          <w:lang w:eastAsia="zh-CN"/>
        </w:rPr>
        <w:t>汽车美容，主要有</w:t>
      </w:r>
      <w:r>
        <w:rPr>
          <w:rFonts w:hint="eastAsia" w:ascii="宋体" w:hAnsi="宋体" w:eastAsia="宋体" w:cs="宋体"/>
          <w:b w:val="0"/>
          <w:bCs w:val="0"/>
          <w:color w:val="auto"/>
          <w:sz w:val="24"/>
          <w:szCs w:val="24"/>
        </w:rPr>
        <w:t>车身美容</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车身漆面处理</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汽车装饰保护</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四</w:t>
      </w:r>
      <w:r>
        <w:rPr>
          <w:rFonts w:hint="eastAsia" w:ascii="宋体" w:hAnsi="宋体" w:eastAsia="宋体" w:cs="宋体"/>
          <w:b w:val="0"/>
          <w:bCs w:val="0"/>
          <w:color w:val="auto"/>
          <w:kern w:val="0"/>
          <w:sz w:val="24"/>
        </w:rPr>
        <w:t>：</w:t>
      </w:r>
      <w:r>
        <w:rPr>
          <w:rFonts w:hint="eastAsia" w:ascii="宋体" w:hAnsi="宋体" w:eastAsia="宋体" w:cs="宋体"/>
          <w:b w:val="0"/>
          <w:bCs w:val="0"/>
          <w:color w:val="auto"/>
          <w:sz w:val="24"/>
          <w:szCs w:val="24"/>
          <w:lang w:eastAsia="zh-CN"/>
        </w:rPr>
        <w:t>汽车保养</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lang w:eastAsia="zh-CN"/>
        </w:rPr>
        <w:t>通过本课程学习，使学生熟悉钳工、焊接、钣金、汽车美容、汽车保养液基本知识，进一步拓展学生在焊接、钳工、汽车美容、汽车保养等方面的技能水平。教学过程中，可灵活采取案例、云课堂等辅助教学，鼓励学生积极动手、勤于思考，充分发挥学生的主观能动性，培养学生的自信心和严谨的工作精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szCs w:val="24"/>
          <w:lang w:val="en-US" w:eastAsia="zh-CN"/>
        </w:rPr>
        <w:t>18）顶岗实习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val="en-US" w:eastAsia="zh-CN"/>
        </w:rPr>
        <w:t>：通过顶岗实习，使学生受到专业技术方面的综合训练，初步具备企业员工的基本素质和岗位能力，</w:t>
      </w:r>
      <w:r>
        <w:rPr>
          <w:rFonts w:hint="eastAsia" w:ascii="宋体" w:hAnsi="宋体" w:eastAsia="宋体" w:cs="宋体"/>
          <w:i w:val="0"/>
          <w:caps w:val="0"/>
          <w:color w:val="auto"/>
          <w:spacing w:val="0"/>
          <w:sz w:val="24"/>
          <w:szCs w:val="24"/>
          <w:u w:val="none"/>
          <w:shd w:val="clear" w:fill="FFFFFF"/>
        </w:rPr>
        <w:t>实习的模式创新、校企合作内容创新和三级管理制度创新等,不断提高高职学生顶岗实习质量</w:t>
      </w:r>
      <w:r>
        <w:rPr>
          <w:rFonts w:hint="eastAsia" w:ascii="宋体" w:hAnsi="宋体" w:eastAsia="宋体" w:cs="宋体"/>
          <w:i w:val="0"/>
          <w:caps w:val="0"/>
          <w:color w:val="auto"/>
          <w:spacing w:val="0"/>
          <w:sz w:val="24"/>
          <w:szCs w:val="24"/>
          <w:u w:val="none"/>
          <w:shd w:val="clear" w:fill="FFFFFF"/>
          <w:lang w:val="en-US"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color w:val="auto"/>
          <w:sz w:val="24"/>
          <w:szCs w:val="24"/>
          <w:lang w:val="en-US" w:eastAsia="zh-CN"/>
        </w:rPr>
        <w:t>：企业认识、岗位顶岗、实习总结。通过实践教学，使学生受到专业技术方面的综合训练，能够初步独立检测汽车性能，分析汽车故障产生的原因，掌握故障诊断与排除方法，同时得到劳动纪律、安全教育、职业道德教育和专业教育等全面教育。</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b w:val="0"/>
          <w:bCs w:val="0"/>
          <w:color w:val="auto"/>
          <w:sz w:val="24"/>
          <w:szCs w:val="24"/>
          <w:lang w:val="en-US" w:eastAsia="zh-CN"/>
        </w:rPr>
        <w:t>该课程教学过程是学生到相关企业去</w:t>
      </w:r>
      <w:r>
        <w:rPr>
          <w:rFonts w:hint="eastAsia" w:ascii="宋体" w:hAnsi="宋体" w:eastAsia="宋体" w:cs="宋体"/>
          <w:color w:val="auto"/>
          <w:sz w:val="24"/>
          <w:szCs w:val="24"/>
          <w:lang w:val="en-US" w:eastAsia="zh-CN"/>
        </w:rPr>
        <w:t>，经过现场维修实习和企业员工的交换指导，理论联络实际，把所学的理论知识加以印证、深化、巩固和充实，培养分析处理工作实际成绩的能力，为后继专业学习打下决实基础。</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宋体" w:hAnsi="宋体" w:eastAsia="宋体" w:cs="宋体"/>
          <w:color w:val="auto"/>
          <w:sz w:val="24"/>
          <w:lang w:val="en-US" w:eastAsia="zh-CN"/>
        </w:rPr>
      </w:pPr>
    </w:p>
    <w:p>
      <w:pPr>
        <w:widowControl/>
        <w:spacing w:line="360" w:lineRule="auto"/>
        <w:ind w:firstLine="723" w:firstLineChars="30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专业相关的实践能力要求</w:t>
      </w:r>
    </w:p>
    <w:tbl>
      <w:tblPr>
        <w:tblStyle w:val="11"/>
        <w:tblW w:w="9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809"/>
        <w:gridCol w:w="3431"/>
        <w:gridCol w:w="185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65"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809" w:type="dxa"/>
            <w:noWrap w:val="0"/>
            <w:vAlign w:val="center"/>
          </w:tcPr>
          <w:p>
            <w:pPr>
              <w:keepNext w:val="0"/>
              <w:keepLines w:val="0"/>
              <w:pageBreakBefore w:val="0"/>
              <w:kinsoku/>
              <w:wordWrap/>
              <w:overflowPunct/>
              <w:topLinePunct w:val="0"/>
              <w:autoSpaceDE/>
              <w:autoSpaceDN/>
              <w:bidi w:val="0"/>
              <w:spacing w:line="360" w:lineRule="auto"/>
              <w:ind w:left="56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证书名称</w:t>
            </w:r>
          </w:p>
        </w:tc>
        <w:tc>
          <w:tcPr>
            <w:tcW w:w="343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颁证单位</w:t>
            </w:r>
          </w:p>
        </w:tc>
        <w:tc>
          <w:tcPr>
            <w:tcW w:w="185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146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809"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汽车维修工</w:t>
            </w:r>
          </w:p>
        </w:tc>
        <w:tc>
          <w:tcPr>
            <w:tcW w:w="343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铜陵市人力资源和社会保障局</w:t>
            </w:r>
          </w:p>
        </w:tc>
        <w:tc>
          <w:tcPr>
            <w:tcW w:w="185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中级</w:t>
            </w:r>
          </w:p>
        </w:tc>
        <w:tc>
          <w:tcPr>
            <w:tcW w:w="146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p>
        </w:tc>
      </w:tr>
    </w:tbl>
    <w:p>
      <w:pPr>
        <w:keepNext w:val="0"/>
        <w:keepLines w:val="0"/>
        <w:pageBreakBefore w:val="0"/>
        <w:kinsoku/>
        <w:wordWrap/>
        <w:overflowPunct/>
        <w:topLinePunct w:val="0"/>
        <w:autoSpaceDE/>
        <w:autoSpaceDN/>
        <w:bidi w:val="0"/>
        <w:adjustRightIn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（二）学时安排</w:t>
      </w:r>
    </w:p>
    <w:p>
      <w:pPr>
        <w:keepNext w:val="0"/>
        <w:keepLines w:val="0"/>
        <w:pageBreakBefore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hint="eastAsia" w:ascii="黑体" w:hAnsi="黑体" w:eastAsia="黑体"/>
          <w:b/>
          <w:color w:val="auto"/>
          <w:sz w:val="24"/>
          <w:szCs w:val="24"/>
        </w:rPr>
      </w:pPr>
    </w:p>
    <w:p>
      <w:pPr>
        <w:rPr>
          <w:rFonts w:hint="eastAsia" w:ascii="黑体" w:hAnsi="黑体" w:eastAsia="黑体"/>
          <w:b/>
          <w:color w:val="auto"/>
          <w:sz w:val="24"/>
          <w:szCs w:val="24"/>
        </w:rPr>
      </w:pPr>
      <w:r>
        <w:rPr>
          <w:rFonts w:hint="eastAsia" w:ascii="黑体" w:hAnsi="黑体" w:eastAsia="黑体"/>
          <w:b/>
          <w:color w:val="auto"/>
          <w:sz w:val="24"/>
          <w:szCs w:val="24"/>
        </w:rPr>
        <w:br w:type="page"/>
      </w:r>
    </w:p>
    <w:p>
      <w:pPr>
        <w:numPr>
          <w:ilvl w:val="0"/>
          <w:numId w:val="1"/>
        </w:numPr>
        <w:adjustRightInd w:val="0"/>
        <w:spacing w:line="560" w:lineRule="exact"/>
        <w:ind w:firstLine="482" w:firstLineChars="200"/>
        <w:rPr>
          <w:rFonts w:ascii="黑体" w:hAnsi="黑体" w:eastAsia="黑体"/>
          <w:b/>
          <w:color w:val="auto"/>
          <w:sz w:val="24"/>
          <w:szCs w:val="24"/>
        </w:rPr>
      </w:pPr>
      <w:r>
        <w:rPr>
          <w:rFonts w:ascii="黑体" w:hAnsi="黑体" w:eastAsia="黑体"/>
          <w:b/>
          <w:color w:val="auto"/>
          <w:sz w:val="24"/>
          <w:szCs w:val="24"/>
        </w:rPr>
        <w:t>教学进程总体安排</w:t>
      </w:r>
    </w:p>
    <w:p>
      <w:pPr>
        <w:adjustRightInd w:val="0"/>
        <w:spacing w:line="560" w:lineRule="exact"/>
        <w:jc w:val="center"/>
        <w:rPr>
          <w:rFonts w:ascii="黑体" w:hAnsi="黑体" w:eastAsia="黑体"/>
          <w:b/>
          <w:color w:val="auto"/>
          <w:sz w:val="30"/>
          <w:szCs w:val="30"/>
        </w:rPr>
      </w:pPr>
      <w:r>
        <w:rPr>
          <w:rFonts w:hint="eastAsia" w:ascii="仿宋" w:hAnsi="仿宋" w:eastAsia="仿宋"/>
          <w:b/>
          <w:color w:val="auto"/>
          <w:sz w:val="30"/>
          <w:szCs w:val="30"/>
        </w:rPr>
        <w:t>表</w:t>
      </w:r>
      <w:r>
        <w:rPr>
          <w:rFonts w:hint="default" w:ascii="仿宋" w:hAnsi="仿宋" w:eastAsia="仿宋"/>
          <w:b/>
          <w:color w:val="auto"/>
          <w:sz w:val="30"/>
          <w:szCs w:val="30"/>
          <w:lang w:val="en-IE"/>
        </w:rPr>
        <w:t>1</w:t>
      </w:r>
      <w:r>
        <w:rPr>
          <w:rFonts w:hint="eastAsia" w:ascii="仿宋" w:hAnsi="仿宋" w:eastAsia="仿宋"/>
          <w:b/>
          <w:color w:val="auto"/>
          <w:sz w:val="30"/>
          <w:szCs w:val="30"/>
        </w:rPr>
        <w:t>教学进程安排表</w:t>
      </w:r>
    </w:p>
    <w:tbl>
      <w:tblPr>
        <w:tblStyle w:val="11"/>
        <w:tblW w:w="112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60"/>
        <w:gridCol w:w="235"/>
        <w:gridCol w:w="194"/>
        <w:gridCol w:w="51"/>
        <w:gridCol w:w="235"/>
        <w:gridCol w:w="32"/>
        <w:gridCol w:w="359"/>
        <w:gridCol w:w="1668"/>
        <w:gridCol w:w="645"/>
        <w:gridCol w:w="585"/>
        <w:gridCol w:w="630"/>
        <w:gridCol w:w="611"/>
        <w:gridCol w:w="604"/>
        <w:gridCol w:w="735"/>
        <w:gridCol w:w="750"/>
        <w:gridCol w:w="765"/>
        <w:gridCol w:w="750"/>
        <w:gridCol w:w="735"/>
        <w:gridCol w:w="707"/>
        <w:gridCol w:w="61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w:t>
            </w:r>
          </w:p>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类别</w:t>
            </w:r>
          </w:p>
        </w:tc>
        <w:tc>
          <w:tcPr>
            <w:tcW w:w="480" w:type="dxa"/>
            <w:gridSpan w:val="3"/>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课程序号</w:t>
            </w:r>
          </w:p>
        </w:tc>
        <w:tc>
          <w:tcPr>
            <w:tcW w:w="2059" w:type="dxa"/>
            <w:gridSpan w:val="3"/>
            <w:vMerge w:val="restart"/>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课程，名称</w:t>
            </w:r>
          </w:p>
        </w:tc>
        <w:tc>
          <w:tcPr>
            <w:tcW w:w="2471" w:type="dxa"/>
            <w:gridSpan w:val="4"/>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课时分配</w:t>
            </w:r>
          </w:p>
        </w:tc>
        <w:tc>
          <w:tcPr>
            <w:tcW w:w="4339" w:type="dxa"/>
            <w:gridSpan w:val="6"/>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每学期教学周数及周学时分配</w:t>
            </w:r>
          </w:p>
        </w:tc>
        <w:tc>
          <w:tcPr>
            <w:tcW w:w="1318" w:type="dxa"/>
            <w:gridSpan w:val="2"/>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b/>
                <w:bCs/>
                <w:color w:val="auto"/>
                <w:kern w:val="0"/>
                <w:sz w:val="18"/>
                <w:szCs w:val="18"/>
              </w:rPr>
            </w:pPr>
          </w:p>
        </w:tc>
        <w:tc>
          <w:tcPr>
            <w:tcW w:w="480"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2059"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645"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理论</w:t>
            </w:r>
          </w:p>
        </w:tc>
        <w:tc>
          <w:tcPr>
            <w:tcW w:w="585"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实践</w:t>
            </w:r>
          </w:p>
        </w:tc>
        <w:tc>
          <w:tcPr>
            <w:tcW w:w="630"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11" w:type="dxa"/>
            <w:vMerge w:val="restart"/>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学分</w:t>
            </w: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一</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二</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三</w:t>
            </w:r>
          </w:p>
        </w:tc>
        <w:tc>
          <w:tcPr>
            <w:tcW w:w="76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四</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五</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六</w:t>
            </w:r>
          </w:p>
        </w:tc>
        <w:tc>
          <w:tcPr>
            <w:tcW w:w="707" w:type="dxa"/>
            <w:vMerge w:val="restart"/>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方式</w:t>
            </w:r>
          </w:p>
        </w:tc>
        <w:tc>
          <w:tcPr>
            <w:tcW w:w="611" w:type="dxa"/>
            <w:vMerge w:val="restart"/>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b/>
                <w:bCs/>
                <w:color w:val="auto"/>
                <w:kern w:val="0"/>
                <w:sz w:val="18"/>
                <w:szCs w:val="18"/>
              </w:rPr>
            </w:pPr>
          </w:p>
        </w:tc>
        <w:tc>
          <w:tcPr>
            <w:tcW w:w="480"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2059"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645" w:type="dxa"/>
            <w:vMerge w:val="continue"/>
            <w:vAlign w:val="center"/>
          </w:tcPr>
          <w:p>
            <w:pPr>
              <w:widowControl/>
              <w:jc w:val="center"/>
              <w:rPr>
                <w:rFonts w:hint="eastAsia" w:ascii="宋体" w:hAnsi="宋体" w:eastAsia="宋体" w:cs="宋体"/>
                <w:b/>
                <w:bCs/>
                <w:color w:val="auto"/>
                <w:kern w:val="0"/>
                <w:sz w:val="18"/>
                <w:szCs w:val="18"/>
              </w:rPr>
            </w:pPr>
          </w:p>
        </w:tc>
        <w:tc>
          <w:tcPr>
            <w:tcW w:w="585" w:type="dxa"/>
            <w:vMerge w:val="continue"/>
            <w:vAlign w:val="center"/>
          </w:tcPr>
          <w:p>
            <w:pPr>
              <w:widowControl/>
              <w:jc w:val="center"/>
              <w:rPr>
                <w:rFonts w:hint="eastAsia" w:ascii="宋体" w:hAnsi="宋体" w:eastAsia="宋体" w:cs="宋体"/>
                <w:b/>
                <w:bCs/>
                <w:color w:val="auto"/>
                <w:kern w:val="0"/>
                <w:sz w:val="18"/>
                <w:szCs w:val="18"/>
              </w:rPr>
            </w:pPr>
          </w:p>
        </w:tc>
        <w:tc>
          <w:tcPr>
            <w:tcW w:w="630" w:type="dxa"/>
            <w:vMerge w:val="continue"/>
            <w:vAlign w:val="center"/>
          </w:tcPr>
          <w:p>
            <w:pPr>
              <w:widowControl/>
              <w:jc w:val="center"/>
              <w:rPr>
                <w:rFonts w:hint="eastAsia" w:ascii="宋体" w:hAnsi="宋体" w:eastAsia="宋体" w:cs="宋体"/>
                <w:b/>
                <w:bCs/>
                <w:color w:val="auto"/>
                <w:kern w:val="0"/>
                <w:sz w:val="18"/>
                <w:szCs w:val="18"/>
              </w:rPr>
            </w:pPr>
          </w:p>
        </w:tc>
        <w:tc>
          <w:tcPr>
            <w:tcW w:w="611" w:type="dxa"/>
            <w:vMerge w:val="continue"/>
            <w:vAlign w:val="center"/>
          </w:tcPr>
          <w:p>
            <w:pPr>
              <w:widowControl/>
              <w:jc w:val="center"/>
              <w:rPr>
                <w:rFonts w:hint="eastAsia" w:ascii="宋体" w:hAnsi="宋体" w:eastAsia="宋体" w:cs="宋体"/>
                <w:b/>
                <w:bCs/>
                <w:color w:val="auto"/>
                <w:kern w:val="0"/>
                <w:sz w:val="18"/>
                <w:szCs w:val="18"/>
              </w:rPr>
            </w:pP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6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07" w:type="dxa"/>
            <w:vMerge w:val="continue"/>
            <w:vAlign w:val="center"/>
          </w:tcPr>
          <w:p>
            <w:pPr>
              <w:widowControl/>
              <w:jc w:val="center"/>
              <w:rPr>
                <w:rFonts w:hint="eastAsia" w:ascii="宋体" w:hAnsi="宋体" w:eastAsia="宋体" w:cs="宋体"/>
                <w:b/>
                <w:color w:val="auto"/>
                <w:kern w:val="0"/>
                <w:sz w:val="18"/>
                <w:szCs w:val="18"/>
              </w:rPr>
            </w:pPr>
          </w:p>
        </w:tc>
        <w:tc>
          <w:tcPr>
            <w:tcW w:w="611" w:type="dxa"/>
            <w:vMerge w:val="continue"/>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公共基础课</w:t>
            </w: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高职应用数学I</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3.5</w:t>
            </w:r>
          </w:p>
        </w:tc>
        <w:tc>
          <w:tcPr>
            <w:tcW w:w="604"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14*4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2</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高职实用英语I</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14*4</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笔试/项目测试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3</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计算机应用基础</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14*4</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考证</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思想道德与法律基础</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14*3</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5</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毛泽东思想和中国特色社会主义理论体系概论</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14*3</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6</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创新创业基础</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10*2</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7</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心理健康</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8</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大学生职业发展与就业指导</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611" w:type="dxa"/>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7*2</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9</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专业英语</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24</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24</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12*2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10</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应用文写作</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8*2</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11</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沟通与交流</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12</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形势与政策</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项目测试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380</w:t>
            </w:r>
          </w:p>
        </w:tc>
        <w:tc>
          <w:tcPr>
            <w:tcW w:w="585"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sz w:val="18"/>
                <w:szCs w:val="18"/>
              </w:rPr>
              <w:t>28</w:t>
            </w:r>
          </w:p>
        </w:tc>
        <w:tc>
          <w:tcPr>
            <w:tcW w:w="630" w:type="dxa"/>
            <w:noWrap/>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bCs/>
                <w:color w:val="auto"/>
                <w:sz w:val="18"/>
                <w:szCs w:val="18"/>
              </w:rPr>
              <w:t>4</w:t>
            </w:r>
            <w:r>
              <w:rPr>
                <w:rFonts w:hint="eastAsia" w:ascii="宋体" w:hAnsi="宋体" w:eastAsia="宋体" w:cs="宋体"/>
                <w:b/>
                <w:bCs/>
                <w:color w:val="auto"/>
                <w:sz w:val="18"/>
                <w:szCs w:val="18"/>
                <w:lang w:val="en-US" w:eastAsia="zh-CN"/>
              </w:rPr>
              <w:t>08</w:t>
            </w:r>
          </w:p>
        </w:tc>
        <w:tc>
          <w:tcPr>
            <w:tcW w:w="611"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sz w:val="18"/>
                <w:szCs w:val="18"/>
              </w:rPr>
              <w:t>2</w:t>
            </w:r>
            <w:r>
              <w:rPr>
                <w:rFonts w:hint="eastAsia" w:ascii="宋体" w:hAnsi="宋体" w:eastAsia="宋体" w:cs="宋体"/>
                <w:b/>
                <w:bCs/>
                <w:color w:val="auto"/>
                <w:sz w:val="18"/>
                <w:szCs w:val="18"/>
                <w:lang w:val="en-US" w:eastAsia="zh-CN"/>
              </w:rPr>
              <w:t>4</w:t>
            </w:r>
            <w:r>
              <w:rPr>
                <w:rFonts w:hint="eastAsia" w:ascii="宋体" w:hAnsi="宋体" w:eastAsia="宋体" w:cs="宋体"/>
                <w:b/>
                <w:bCs/>
                <w:color w:val="auto"/>
                <w:sz w:val="18"/>
                <w:szCs w:val="18"/>
              </w:rPr>
              <w:t>.5</w:t>
            </w:r>
          </w:p>
        </w:tc>
        <w:tc>
          <w:tcPr>
            <w:tcW w:w="604" w:type="dxa"/>
            <w:noWrap/>
            <w:vAlign w:val="center"/>
          </w:tcPr>
          <w:p>
            <w:pPr>
              <w:jc w:val="center"/>
              <w:rPr>
                <w:rFonts w:hint="default" w:ascii="宋体" w:hAnsi="宋体" w:eastAsia="宋体" w:cs="宋体"/>
                <w:b/>
                <w:color w:val="auto"/>
                <w:kern w:val="0"/>
                <w:sz w:val="18"/>
                <w:szCs w:val="18"/>
                <w:lang w:val="en-US"/>
              </w:rPr>
            </w:pPr>
            <w:r>
              <w:rPr>
                <w:rFonts w:hint="eastAsia" w:ascii="宋体" w:hAnsi="宋体" w:eastAsia="宋体" w:cs="宋体"/>
                <w:b/>
                <w:bCs/>
                <w:color w:val="auto"/>
                <w:kern w:val="0"/>
                <w:sz w:val="18"/>
                <w:szCs w:val="18"/>
                <w:lang w:val="en-US" w:eastAsia="zh-CN"/>
              </w:rPr>
              <w:t>182</w:t>
            </w:r>
          </w:p>
        </w:tc>
        <w:tc>
          <w:tcPr>
            <w:tcW w:w="735" w:type="dxa"/>
            <w:noWrap/>
            <w:vAlign w:val="center"/>
          </w:tcPr>
          <w:p>
            <w:pPr>
              <w:jc w:val="center"/>
              <w:rPr>
                <w:rFonts w:hint="default" w:ascii="宋体" w:hAnsi="宋体" w:eastAsia="宋体" w:cs="宋体"/>
                <w:b/>
                <w:color w:val="auto"/>
                <w:kern w:val="0"/>
                <w:sz w:val="18"/>
                <w:szCs w:val="18"/>
                <w:lang w:val="en-US"/>
              </w:rPr>
            </w:pPr>
            <w:r>
              <w:rPr>
                <w:rFonts w:hint="eastAsia" w:ascii="宋体" w:hAnsi="宋体" w:eastAsia="宋体" w:cs="宋体"/>
                <w:b/>
                <w:bCs/>
                <w:color w:val="auto"/>
                <w:kern w:val="0"/>
                <w:sz w:val="18"/>
                <w:szCs w:val="18"/>
                <w:lang w:val="en-US" w:eastAsia="zh-CN"/>
              </w:rPr>
              <w:t>150</w:t>
            </w:r>
          </w:p>
        </w:tc>
        <w:tc>
          <w:tcPr>
            <w:tcW w:w="750" w:type="dxa"/>
            <w:noWrap/>
            <w:vAlign w:val="center"/>
          </w:tcPr>
          <w:p>
            <w:pPr>
              <w:jc w:val="center"/>
              <w:rPr>
                <w:rFonts w:hint="default" w:ascii="宋体" w:hAnsi="宋体" w:eastAsia="宋体" w:cs="宋体"/>
                <w:b/>
                <w:color w:val="auto"/>
                <w:kern w:val="0"/>
                <w:sz w:val="18"/>
                <w:szCs w:val="18"/>
                <w:lang w:val="en-US"/>
              </w:rPr>
            </w:pPr>
            <w:r>
              <w:rPr>
                <w:rFonts w:hint="eastAsia" w:ascii="宋体" w:hAnsi="宋体" w:eastAsia="宋体" w:cs="宋体"/>
                <w:b/>
                <w:bCs/>
                <w:color w:val="auto"/>
                <w:kern w:val="0"/>
                <w:sz w:val="18"/>
                <w:szCs w:val="18"/>
                <w:lang w:val="en-US" w:eastAsia="zh-CN"/>
              </w:rPr>
              <w:t>30</w:t>
            </w:r>
          </w:p>
        </w:tc>
        <w:tc>
          <w:tcPr>
            <w:tcW w:w="765"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lang w:val="en-US" w:eastAsia="zh-CN"/>
              </w:rPr>
              <w:t>46</w:t>
            </w:r>
          </w:p>
        </w:tc>
        <w:tc>
          <w:tcPr>
            <w:tcW w:w="750" w:type="dxa"/>
            <w:noWrap/>
            <w:vAlign w:val="center"/>
          </w:tcPr>
          <w:p>
            <w:pPr>
              <w:widowControl/>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611"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595"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选修课</w:t>
            </w:r>
          </w:p>
        </w:tc>
        <w:tc>
          <w:tcPr>
            <w:tcW w:w="512" w:type="dxa"/>
            <w:gridSpan w:val="4"/>
            <w:tcBorders>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军事理论</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585" w:type="dxa"/>
            <w:vAlign w:val="center"/>
          </w:tcPr>
          <w:p>
            <w:pPr>
              <w:widowControl/>
              <w:jc w:val="center"/>
              <w:rPr>
                <w:rFonts w:hint="eastAsia" w:ascii="宋体" w:hAnsi="宋体" w:eastAsia="宋体" w:cs="宋体"/>
                <w:color w:val="auto"/>
                <w:kern w:val="0"/>
                <w:sz w:val="18"/>
                <w:szCs w:val="18"/>
                <w:lang w:val="en-US" w:eastAsia="zh-CN" w:bidi="ar-SA"/>
              </w:rPr>
            </w:pPr>
          </w:p>
        </w:tc>
        <w:tc>
          <w:tcPr>
            <w:tcW w:w="630"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611"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
                <w:color w:val="auto"/>
                <w:kern w:val="0"/>
                <w:sz w:val="18"/>
                <w:szCs w:val="18"/>
              </w:rPr>
              <w:t>2</w:t>
            </w:r>
          </w:p>
        </w:tc>
        <w:tc>
          <w:tcPr>
            <w:tcW w:w="604"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9*4</w:t>
            </w: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7" w:type="dxa"/>
            <w:noWrap/>
            <w:vAlign w:val="center"/>
          </w:tcPr>
          <w:p>
            <w:pPr>
              <w:widowControl/>
              <w:rPr>
                <w:rFonts w:hint="eastAsia" w:ascii="宋体" w:hAnsi="宋体" w:eastAsia="宋体" w:cs="宋体"/>
                <w:color w:val="auto"/>
                <w:kern w:val="0"/>
                <w:sz w:val="18"/>
                <w:szCs w:val="18"/>
                <w:lang w:val="en-US" w:eastAsia="zh-CN" w:bidi="ar-SA"/>
              </w:rPr>
            </w:pPr>
            <w:r>
              <w:rPr>
                <w:rFonts w:hint="eastAsia" w:ascii="宋体" w:cs="宋体"/>
                <w:color w:val="auto"/>
                <w:kern w:val="0"/>
                <w:szCs w:val="21"/>
              </w:rPr>
              <w:t>网络</w:t>
            </w:r>
          </w:p>
        </w:tc>
        <w:tc>
          <w:tcPr>
            <w:tcW w:w="61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512" w:type="dxa"/>
            <w:gridSpan w:val="4"/>
            <w:tcBorders>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优秀传统文化</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585" w:type="dxa"/>
            <w:vAlign w:val="center"/>
          </w:tcPr>
          <w:p>
            <w:pPr>
              <w:widowControl/>
              <w:jc w:val="center"/>
              <w:rPr>
                <w:rFonts w:hint="eastAsia" w:ascii="宋体" w:hAnsi="宋体" w:eastAsia="宋体" w:cs="宋体"/>
                <w:color w:val="auto"/>
                <w:kern w:val="0"/>
                <w:sz w:val="18"/>
                <w:szCs w:val="18"/>
                <w:lang w:val="en-US" w:eastAsia="zh-CN" w:bidi="ar-SA"/>
              </w:rPr>
            </w:pPr>
          </w:p>
        </w:tc>
        <w:tc>
          <w:tcPr>
            <w:tcW w:w="630"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611"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
                <w:color w:val="auto"/>
                <w:kern w:val="0"/>
                <w:sz w:val="18"/>
                <w:szCs w:val="18"/>
              </w:rPr>
              <w:t>2</w:t>
            </w:r>
          </w:p>
        </w:tc>
        <w:tc>
          <w:tcPr>
            <w:tcW w:w="604"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9*4</w:t>
            </w:r>
          </w:p>
        </w:tc>
        <w:tc>
          <w:tcPr>
            <w:tcW w:w="76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7" w:type="dxa"/>
            <w:noWrap/>
            <w:vAlign w:val="center"/>
          </w:tcPr>
          <w:p>
            <w:pPr>
              <w:widowControl/>
              <w:rPr>
                <w:rFonts w:hint="eastAsia" w:ascii="宋体" w:hAnsi="宋体" w:eastAsia="宋体" w:cs="宋体"/>
                <w:color w:val="auto"/>
                <w:kern w:val="0"/>
                <w:sz w:val="18"/>
                <w:szCs w:val="18"/>
                <w:lang w:val="en-US" w:eastAsia="zh-CN" w:bidi="ar-SA"/>
              </w:rPr>
            </w:pPr>
            <w:r>
              <w:rPr>
                <w:rFonts w:hint="eastAsia" w:ascii="宋体" w:cs="宋体"/>
                <w:color w:val="auto"/>
                <w:kern w:val="0"/>
                <w:szCs w:val="21"/>
              </w:rPr>
              <w:t>网络</w:t>
            </w:r>
          </w:p>
        </w:tc>
        <w:tc>
          <w:tcPr>
            <w:tcW w:w="61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512" w:type="dxa"/>
            <w:gridSpan w:val="4"/>
            <w:tcBorders>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kern w:val="0"/>
                <w:sz w:val="18"/>
                <w:szCs w:val="18"/>
              </w:rPr>
              <w:t>超星尔雅选修课1</w:t>
            </w:r>
          </w:p>
        </w:tc>
        <w:tc>
          <w:tcPr>
            <w:tcW w:w="645"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sz w:val="18"/>
                <w:szCs w:val="18"/>
              </w:rPr>
              <w:t>90</w:t>
            </w:r>
          </w:p>
        </w:tc>
        <w:tc>
          <w:tcPr>
            <w:tcW w:w="585" w:type="dxa"/>
            <w:vAlign w:val="center"/>
          </w:tcPr>
          <w:p>
            <w:pPr>
              <w:jc w:val="center"/>
              <w:rPr>
                <w:rFonts w:hint="eastAsia" w:ascii="宋体" w:hAnsi="宋体" w:eastAsia="宋体" w:cs="宋体"/>
                <w:color w:val="auto"/>
                <w:kern w:val="0"/>
                <w:sz w:val="18"/>
                <w:szCs w:val="18"/>
                <w:lang w:val="en-US" w:eastAsia="zh-CN" w:bidi="ar-SA"/>
              </w:rPr>
            </w:pPr>
          </w:p>
        </w:tc>
        <w:tc>
          <w:tcPr>
            <w:tcW w:w="630" w:type="dxa"/>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sz w:val="18"/>
                <w:szCs w:val="18"/>
              </w:rPr>
              <w:t>90</w:t>
            </w:r>
          </w:p>
        </w:tc>
        <w:tc>
          <w:tcPr>
            <w:tcW w:w="611" w:type="dxa"/>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sz w:val="18"/>
                <w:szCs w:val="18"/>
              </w:rPr>
              <w:t>5.5</w:t>
            </w:r>
          </w:p>
        </w:tc>
        <w:tc>
          <w:tcPr>
            <w:tcW w:w="604"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kern w:val="0"/>
                <w:sz w:val="18"/>
                <w:szCs w:val="18"/>
              </w:rPr>
              <w:t>15*6</w:t>
            </w: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7" w:type="dxa"/>
            <w:noWrap/>
            <w:vAlign w:val="center"/>
          </w:tcPr>
          <w:p>
            <w:pPr>
              <w:widowControl/>
              <w:rPr>
                <w:rFonts w:hint="eastAsia" w:ascii="宋体" w:hAnsi="宋体" w:eastAsia="宋体" w:cs="宋体"/>
                <w:color w:val="auto"/>
                <w:kern w:val="0"/>
                <w:sz w:val="18"/>
                <w:szCs w:val="18"/>
                <w:lang w:val="en-US" w:eastAsia="zh-CN" w:bidi="ar-SA"/>
              </w:rPr>
            </w:pPr>
            <w:r>
              <w:rPr>
                <w:rFonts w:hint="eastAsia" w:ascii="宋体" w:cs="宋体"/>
                <w:color w:val="auto"/>
                <w:kern w:val="0"/>
                <w:szCs w:val="21"/>
              </w:rPr>
              <w:t>网络</w:t>
            </w:r>
          </w:p>
        </w:tc>
        <w:tc>
          <w:tcPr>
            <w:tcW w:w="61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5"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512" w:type="dxa"/>
            <w:gridSpan w:val="4"/>
            <w:tcBorders>
              <w:right w:val="single" w:color="auto" w:sz="4" w:space="0"/>
            </w:tcBorders>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kern w:val="0"/>
                <w:sz w:val="18"/>
                <w:szCs w:val="18"/>
              </w:rPr>
              <w:t>超星尔雅选修课2</w:t>
            </w:r>
          </w:p>
        </w:tc>
        <w:tc>
          <w:tcPr>
            <w:tcW w:w="645"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bCs/>
                <w:color w:val="auto"/>
                <w:sz w:val="18"/>
                <w:szCs w:val="18"/>
              </w:rPr>
              <w:t>90</w:t>
            </w:r>
          </w:p>
        </w:tc>
        <w:tc>
          <w:tcPr>
            <w:tcW w:w="585" w:type="dxa"/>
            <w:vAlign w:val="center"/>
          </w:tcPr>
          <w:p>
            <w:pPr>
              <w:jc w:val="center"/>
              <w:rPr>
                <w:rFonts w:hint="eastAsia" w:ascii="宋体" w:hAnsi="宋体" w:eastAsia="宋体" w:cs="宋体"/>
                <w:color w:val="auto"/>
                <w:kern w:val="0"/>
                <w:sz w:val="18"/>
                <w:szCs w:val="18"/>
              </w:rPr>
            </w:pPr>
          </w:p>
        </w:tc>
        <w:tc>
          <w:tcPr>
            <w:tcW w:w="630" w:type="dxa"/>
            <w:vAlign w:val="center"/>
          </w:tcPr>
          <w:p>
            <w:pPr>
              <w:jc w:val="center"/>
              <w:rPr>
                <w:rFonts w:hint="eastAsia" w:ascii="宋体" w:hAnsi="宋体" w:eastAsia="宋体" w:cs="宋体"/>
                <w:color w:val="auto"/>
                <w:kern w:val="0"/>
                <w:sz w:val="18"/>
                <w:szCs w:val="18"/>
              </w:rPr>
            </w:pPr>
            <w:r>
              <w:rPr>
                <w:rFonts w:hint="eastAsia" w:ascii="宋体" w:hAnsi="宋体" w:eastAsia="宋体" w:cs="宋体"/>
                <w:bCs/>
                <w:color w:val="auto"/>
                <w:sz w:val="18"/>
                <w:szCs w:val="18"/>
              </w:rPr>
              <w:t>90</w:t>
            </w:r>
          </w:p>
        </w:tc>
        <w:tc>
          <w:tcPr>
            <w:tcW w:w="611" w:type="dxa"/>
            <w:vAlign w:val="center"/>
          </w:tcPr>
          <w:p>
            <w:pPr>
              <w:jc w:val="center"/>
              <w:rPr>
                <w:rFonts w:hint="eastAsia" w:ascii="宋体" w:hAnsi="宋体" w:eastAsia="宋体" w:cs="宋体"/>
                <w:color w:val="auto"/>
                <w:kern w:val="0"/>
                <w:sz w:val="18"/>
                <w:szCs w:val="18"/>
              </w:rPr>
            </w:pPr>
            <w:r>
              <w:rPr>
                <w:rFonts w:hint="eastAsia" w:ascii="宋体" w:hAnsi="宋体" w:eastAsia="宋体" w:cs="宋体"/>
                <w:bCs/>
                <w:color w:val="auto"/>
                <w:sz w:val="18"/>
                <w:szCs w:val="18"/>
              </w:rPr>
              <w:t>5.5</w:t>
            </w:r>
          </w:p>
        </w:tc>
        <w:tc>
          <w:tcPr>
            <w:tcW w:w="604"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bCs/>
                <w:color w:val="auto"/>
                <w:kern w:val="0"/>
                <w:sz w:val="18"/>
                <w:szCs w:val="18"/>
              </w:rPr>
              <w:t>15*6</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center"/>
          </w:tcPr>
          <w:p>
            <w:pPr>
              <w:widowControl/>
              <w:rPr>
                <w:rFonts w:hint="eastAsia" w:ascii="宋体" w:hAnsi="宋体" w:eastAsia="宋体" w:cs="宋体"/>
                <w:color w:val="auto"/>
                <w:kern w:val="0"/>
                <w:sz w:val="18"/>
                <w:szCs w:val="18"/>
              </w:rPr>
            </w:pPr>
            <w:r>
              <w:rPr>
                <w:rFonts w:hint="eastAsia" w:ascii="宋体" w:cs="宋体"/>
                <w:color w:val="auto"/>
                <w:kern w:val="0"/>
                <w:szCs w:val="21"/>
              </w:rPr>
              <w:t>网络</w:t>
            </w:r>
          </w:p>
        </w:tc>
        <w:tc>
          <w:tcPr>
            <w:tcW w:w="611" w:type="dxa"/>
            <w:noWrap/>
            <w:vAlign w:val="top"/>
          </w:tcPr>
          <w:p>
            <w:pP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5"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2539" w:type="dxa"/>
            <w:gridSpan w:val="6"/>
            <w:noWrap/>
            <w:vAlign w:val="center"/>
          </w:tcPr>
          <w:p>
            <w:pPr>
              <w:widowControl/>
              <w:jc w:val="center"/>
              <w:rPr>
                <w:rFonts w:hint="eastAsia" w:ascii="宋体" w:hAnsi="宋体" w:eastAsia="宋体" w:cs="宋体"/>
                <w:bCs/>
                <w:color w:val="auto"/>
                <w:kern w:val="0"/>
                <w:sz w:val="18"/>
                <w:szCs w:val="18"/>
              </w:rPr>
            </w:pPr>
            <w:r>
              <w:rPr>
                <w:rFonts w:hint="eastAsia" w:ascii="宋体" w:hAnsi="宋体" w:cs="宋体"/>
                <w:b/>
                <w:bCs/>
                <w:color w:val="auto"/>
                <w:kern w:val="0"/>
                <w:szCs w:val="21"/>
              </w:rPr>
              <w:t>小</w:t>
            </w:r>
            <w:r>
              <w:rPr>
                <w:rFonts w:hint="eastAsia" w:ascii="宋体" w:hAnsi="宋体" w:cs="宋体"/>
                <w:b/>
                <w:bCs/>
                <w:color w:val="auto"/>
                <w:kern w:val="0"/>
                <w:szCs w:val="21"/>
                <w:lang w:val="en-US" w:eastAsia="zh-CN"/>
              </w:rPr>
              <w:t xml:space="preserve"> </w:t>
            </w:r>
            <w:r>
              <w:rPr>
                <w:rFonts w:hint="eastAsia" w:ascii="宋体" w:hAnsi="宋体" w:cs="宋体"/>
                <w:b/>
                <w:bCs/>
                <w:color w:val="auto"/>
                <w:kern w:val="0"/>
                <w:szCs w:val="21"/>
              </w:rPr>
              <w:t>计</w:t>
            </w:r>
          </w:p>
        </w:tc>
        <w:tc>
          <w:tcPr>
            <w:tcW w:w="645" w:type="dxa"/>
            <w:noWrap/>
            <w:vAlign w:val="center"/>
          </w:tcPr>
          <w:p>
            <w:pPr>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252</w:t>
            </w:r>
          </w:p>
        </w:tc>
        <w:tc>
          <w:tcPr>
            <w:tcW w:w="585" w:type="dxa"/>
            <w:vAlign w:val="center"/>
          </w:tcPr>
          <w:p>
            <w:pPr>
              <w:jc w:val="center"/>
              <w:rPr>
                <w:rFonts w:hint="eastAsia" w:ascii="宋体" w:hAnsi="宋体" w:eastAsia="宋体" w:cs="宋体"/>
                <w:color w:val="auto"/>
                <w:kern w:val="0"/>
                <w:sz w:val="18"/>
                <w:szCs w:val="18"/>
              </w:rPr>
            </w:pPr>
          </w:p>
        </w:tc>
        <w:tc>
          <w:tcPr>
            <w:tcW w:w="630" w:type="dxa"/>
            <w:vAlign w:val="center"/>
          </w:tcPr>
          <w:p>
            <w:pPr>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252</w:t>
            </w:r>
          </w:p>
        </w:tc>
        <w:tc>
          <w:tcPr>
            <w:tcW w:w="611" w:type="dxa"/>
            <w:vAlign w:val="center"/>
          </w:tcPr>
          <w:p>
            <w:pPr>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15</w:t>
            </w:r>
          </w:p>
        </w:tc>
        <w:tc>
          <w:tcPr>
            <w:tcW w:w="604" w:type="dxa"/>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36</w:t>
            </w:r>
          </w:p>
        </w:tc>
        <w:tc>
          <w:tcPr>
            <w:tcW w:w="735" w:type="dxa"/>
            <w:noWrap/>
            <w:vAlign w:val="center"/>
          </w:tcPr>
          <w:p>
            <w:pPr>
              <w:widowControl/>
              <w:jc w:val="center"/>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90</w:t>
            </w:r>
          </w:p>
        </w:tc>
        <w:tc>
          <w:tcPr>
            <w:tcW w:w="750" w:type="dxa"/>
            <w:noWrap/>
            <w:vAlign w:val="center"/>
          </w:tcPr>
          <w:p>
            <w:pPr>
              <w:widowControl/>
              <w:jc w:val="center"/>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36</w:t>
            </w:r>
          </w:p>
        </w:tc>
        <w:tc>
          <w:tcPr>
            <w:tcW w:w="765" w:type="dxa"/>
            <w:noWrap/>
            <w:vAlign w:val="center"/>
          </w:tcPr>
          <w:p>
            <w:pPr>
              <w:widowControl/>
              <w:jc w:val="center"/>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90</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p>
        </w:tc>
        <w:tc>
          <w:tcPr>
            <w:tcW w:w="611" w:type="dxa"/>
            <w:noWrap/>
            <w:vAlign w:val="top"/>
          </w:tcPr>
          <w:p>
            <w:pP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 xml:space="preserve">合 </w:t>
            </w:r>
            <w:r>
              <w:rPr>
                <w:rFonts w:hint="eastAsia" w:ascii="宋体" w:hAnsi="宋体" w:eastAsia="宋体" w:cs="宋体"/>
                <w:b/>
                <w:bCs/>
                <w:color w:val="auto"/>
                <w:kern w:val="0"/>
                <w:sz w:val="18"/>
                <w:szCs w:val="18"/>
              </w:rPr>
              <w:t>计</w:t>
            </w:r>
          </w:p>
        </w:tc>
        <w:tc>
          <w:tcPr>
            <w:tcW w:w="645" w:type="dxa"/>
            <w:noWrap/>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632</w:t>
            </w:r>
          </w:p>
        </w:tc>
        <w:tc>
          <w:tcPr>
            <w:tcW w:w="585" w:type="dxa"/>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28</w:t>
            </w:r>
          </w:p>
        </w:tc>
        <w:tc>
          <w:tcPr>
            <w:tcW w:w="630" w:type="dxa"/>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660</w:t>
            </w:r>
          </w:p>
        </w:tc>
        <w:tc>
          <w:tcPr>
            <w:tcW w:w="611" w:type="dxa"/>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bCs/>
                <w:color w:val="auto"/>
                <w:sz w:val="18"/>
                <w:szCs w:val="18"/>
                <w:lang w:val="en-US" w:eastAsia="zh-CN"/>
              </w:rPr>
              <w:t>39.5</w:t>
            </w:r>
          </w:p>
        </w:tc>
        <w:tc>
          <w:tcPr>
            <w:tcW w:w="604"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218</w:t>
            </w:r>
          </w:p>
        </w:tc>
        <w:tc>
          <w:tcPr>
            <w:tcW w:w="735"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240</w:t>
            </w:r>
          </w:p>
        </w:tc>
        <w:tc>
          <w:tcPr>
            <w:tcW w:w="750"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66</w:t>
            </w:r>
          </w:p>
        </w:tc>
        <w:tc>
          <w:tcPr>
            <w:tcW w:w="765"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136</w:t>
            </w:r>
          </w:p>
        </w:tc>
        <w:tc>
          <w:tcPr>
            <w:tcW w:w="750" w:type="dxa"/>
            <w:noWrap/>
            <w:vAlign w:val="center"/>
          </w:tcPr>
          <w:p>
            <w:pPr>
              <w:widowControl/>
              <w:jc w:val="center"/>
              <w:rPr>
                <w:rFonts w:hint="eastAsia" w:ascii="宋体" w:hAnsi="宋体" w:eastAsia="宋体" w:cs="宋体"/>
                <w:b/>
                <w:bCs/>
                <w:color w:val="auto"/>
                <w:kern w:val="0"/>
                <w:sz w:val="18"/>
                <w:szCs w:val="18"/>
              </w:rPr>
            </w:pPr>
          </w:p>
        </w:tc>
        <w:tc>
          <w:tcPr>
            <w:tcW w:w="735" w:type="dxa"/>
            <w:noWrap/>
            <w:vAlign w:val="center"/>
          </w:tcPr>
          <w:p>
            <w:pPr>
              <w:widowControl/>
              <w:jc w:val="center"/>
              <w:rPr>
                <w:rFonts w:hint="eastAsia" w:ascii="宋体" w:hAnsi="宋体" w:eastAsia="宋体" w:cs="宋体"/>
                <w:b/>
                <w:bCs/>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611"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︵技能</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w:t>
            </w:r>
          </w:p>
        </w:tc>
        <w:tc>
          <w:tcPr>
            <w:tcW w:w="480" w:type="dxa"/>
            <w:gridSpan w:val="3"/>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专业基础课</w:t>
            </w: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汽车机械制图</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48</w:t>
            </w:r>
          </w:p>
        </w:tc>
        <w:tc>
          <w:tcPr>
            <w:tcW w:w="585"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kern w:val="0"/>
                <w:sz w:val="18"/>
                <w:szCs w:val="18"/>
                <w:lang w:val="en-US" w:eastAsia="zh-CN"/>
              </w:rPr>
              <w:t>22</w:t>
            </w:r>
          </w:p>
        </w:tc>
        <w:tc>
          <w:tcPr>
            <w:tcW w:w="630"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70</w:t>
            </w:r>
          </w:p>
        </w:tc>
        <w:tc>
          <w:tcPr>
            <w:tcW w:w="611" w:type="dxa"/>
            <w:vAlign w:val="center"/>
          </w:tcPr>
          <w:p>
            <w:pPr>
              <w:tabs>
                <w:tab w:val="left" w:pos="323"/>
              </w:tabs>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w:t>
            </w:r>
          </w:p>
        </w:tc>
        <w:tc>
          <w:tcPr>
            <w:tcW w:w="604"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14*5</w:t>
            </w: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widowControl/>
              <w:jc w:val="left"/>
              <w:rPr>
                <w:rFonts w:hint="eastAsia" w:ascii="宋体" w:hAnsi="宋体" w:eastAsia="宋体" w:cs="宋体"/>
                <w:color w:val="auto"/>
                <w:kern w:val="0"/>
                <w:sz w:val="18"/>
                <w:szCs w:val="18"/>
              </w:rPr>
            </w:pPr>
          </w:p>
        </w:tc>
        <w:tc>
          <w:tcPr>
            <w:tcW w:w="750" w:type="dxa"/>
            <w:noWrap/>
            <w:vAlign w:val="center"/>
          </w:tcPr>
          <w:p>
            <w:pPr>
              <w:widowControl/>
              <w:jc w:val="left"/>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考试</w:t>
            </w:r>
          </w:p>
        </w:tc>
        <w:tc>
          <w:tcPr>
            <w:tcW w:w="611"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汽车机械基础</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585"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0</w:t>
            </w:r>
          </w:p>
        </w:tc>
        <w:tc>
          <w:tcPr>
            <w:tcW w:w="630"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2.5</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widowControl/>
              <w:jc w:val="left"/>
              <w:rPr>
                <w:rFonts w:hint="eastAsia" w:ascii="宋体" w:hAnsi="宋体" w:eastAsia="宋体" w:cs="宋体"/>
                <w:color w:val="auto"/>
                <w:kern w:val="0"/>
                <w:sz w:val="18"/>
                <w:szCs w:val="18"/>
              </w:rPr>
            </w:pPr>
          </w:p>
        </w:tc>
        <w:tc>
          <w:tcPr>
            <w:tcW w:w="750" w:type="dxa"/>
            <w:noWrap/>
            <w:vAlign w:val="center"/>
          </w:tcPr>
          <w:p>
            <w:pPr>
              <w:widowControl/>
              <w:jc w:val="left"/>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汽车材料</w:t>
            </w:r>
          </w:p>
        </w:tc>
        <w:tc>
          <w:tcPr>
            <w:tcW w:w="645" w:type="dxa"/>
            <w:vAlign w:val="center"/>
          </w:tcPr>
          <w:p>
            <w:pPr>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42</w:t>
            </w:r>
          </w:p>
        </w:tc>
        <w:tc>
          <w:tcPr>
            <w:tcW w:w="585" w:type="dxa"/>
            <w:noWrap/>
            <w:vAlign w:val="center"/>
          </w:tcPr>
          <w:p>
            <w:pPr>
              <w:spacing w:line="24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0</w:t>
            </w:r>
          </w:p>
        </w:tc>
        <w:tc>
          <w:tcPr>
            <w:tcW w:w="630" w:type="dxa"/>
            <w:noWrap/>
            <w:vAlign w:val="center"/>
          </w:tcPr>
          <w:p>
            <w:pPr>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42</w:t>
            </w:r>
          </w:p>
        </w:tc>
        <w:tc>
          <w:tcPr>
            <w:tcW w:w="611" w:type="dxa"/>
            <w:vAlign w:val="center"/>
          </w:tcPr>
          <w:p>
            <w:pPr>
              <w:tabs>
                <w:tab w:val="left" w:pos="443"/>
              </w:tabs>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2.5</w:t>
            </w:r>
          </w:p>
        </w:tc>
        <w:tc>
          <w:tcPr>
            <w:tcW w:w="604" w:type="dxa"/>
            <w:noWrap/>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14*3</w:t>
            </w:r>
          </w:p>
        </w:tc>
        <w:tc>
          <w:tcPr>
            <w:tcW w:w="735" w:type="dxa"/>
            <w:noWrap/>
            <w:vAlign w:val="center"/>
          </w:tcPr>
          <w:p>
            <w:pPr>
              <w:spacing w:line="240" w:lineRule="exact"/>
              <w:jc w:val="center"/>
              <w:rPr>
                <w:rFonts w:hint="eastAsia" w:ascii="宋体" w:hAnsi="宋体" w:eastAsia="宋体" w:cs="宋体"/>
                <w:color w:val="auto"/>
                <w:kern w:val="0"/>
                <w:sz w:val="18"/>
                <w:szCs w:val="18"/>
              </w:rPr>
            </w:pPr>
          </w:p>
        </w:tc>
        <w:tc>
          <w:tcPr>
            <w:tcW w:w="750" w:type="dxa"/>
            <w:noWrap/>
            <w:vAlign w:val="center"/>
          </w:tcPr>
          <w:p>
            <w:pPr>
              <w:spacing w:line="240" w:lineRule="exact"/>
              <w:jc w:val="center"/>
              <w:rPr>
                <w:rFonts w:hint="eastAsia" w:ascii="宋体" w:hAnsi="宋体" w:eastAsia="宋体" w:cs="宋体"/>
                <w:color w:val="auto"/>
                <w:kern w:val="0"/>
                <w:sz w:val="18"/>
                <w:szCs w:val="18"/>
              </w:rPr>
            </w:pPr>
          </w:p>
        </w:tc>
        <w:tc>
          <w:tcPr>
            <w:tcW w:w="765" w:type="dxa"/>
            <w:noWrap/>
            <w:vAlign w:val="center"/>
          </w:tcPr>
          <w:p>
            <w:pPr>
              <w:widowControl/>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汽车电工电子技术</w:t>
            </w:r>
          </w:p>
        </w:tc>
        <w:tc>
          <w:tcPr>
            <w:tcW w:w="645" w:type="dxa"/>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35</w:t>
            </w:r>
          </w:p>
        </w:tc>
        <w:tc>
          <w:tcPr>
            <w:tcW w:w="585"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35</w:t>
            </w:r>
          </w:p>
        </w:tc>
        <w:tc>
          <w:tcPr>
            <w:tcW w:w="630"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70</w:t>
            </w:r>
          </w:p>
        </w:tc>
        <w:tc>
          <w:tcPr>
            <w:tcW w:w="611" w:type="dxa"/>
            <w:vAlign w:val="center"/>
          </w:tcPr>
          <w:p>
            <w:pPr>
              <w:tabs>
                <w:tab w:val="left" w:pos="348"/>
              </w:tabs>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3.5</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5</w:t>
            </w: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widowControl/>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2774" w:type="dxa"/>
            <w:gridSpan w:val="7"/>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widowControl/>
              <w:jc w:val="left"/>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167</w:t>
            </w:r>
          </w:p>
        </w:tc>
        <w:tc>
          <w:tcPr>
            <w:tcW w:w="585" w:type="dxa"/>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57</w:t>
            </w:r>
          </w:p>
        </w:tc>
        <w:tc>
          <w:tcPr>
            <w:tcW w:w="630" w:type="dxa"/>
            <w:noWrap/>
            <w:vAlign w:val="center"/>
          </w:tcPr>
          <w:p>
            <w:pPr>
              <w:widowControl/>
              <w:jc w:val="left"/>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224</w:t>
            </w:r>
          </w:p>
        </w:tc>
        <w:tc>
          <w:tcPr>
            <w:tcW w:w="611" w:type="dxa"/>
            <w:vAlign w:val="top"/>
          </w:tcPr>
          <w:p>
            <w:pPr>
              <w:widowControl/>
              <w:jc w:val="left"/>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12.5</w:t>
            </w:r>
          </w:p>
        </w:tc>
        <w:tc>
          <w:tcPr>
            <w:tcW w:w="604" w:type="dxa"/>
            <w:noWrap/>
            <w:vAlign w:val="center"/>
          </w:tcPr>
          <w:p>
            <w:pPr>
              <w:widowControl/>
              <w:jc w:val="left"/>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182</w:t>
            </w:r>
          </w:p>
        </w:tc>
        <w:tc>
          <w:tcPr>
            <w:tcW w:w="735" w:type="dxa"/>
            <w:noWrap/>
            <w:vAlign w:val="center"/>
          </w:tcPr>
          <w:p>
            <w:pPr>
              <w:widowControl/>
              <w:jc w:val="left"/>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 xml:space="preserve"> 42</w:t>
            </w:r>
          </w:p>
        </w:tc>
        <w:tc>
          <w:tcPr>
            <w:tcW w:w="750" w:type="dxa"/>
            <w:noWrap/>
            <w:vAlign w:val="center"/>
          </w:tcPr>
          <w:p>
            <w:pPr>
              <w:widowControl/>
              <w:jc w:val="left"/>
              <w:rPr>
                <w:rFonts w:hint="eastAsia" w:ascii="宋体" w:hAnsi="宋体" w:eastAsia="宋体" w:cs="宋体"/>
                <w:b w:val="0"/>
                <w:bCs w:val="0"/>
                <w:color w:val="auto"/>
                <w:kern w:val="0"/>
                <w:sz w:val="18"/>
                <w:szCs w:val="18"/>
              </w:rPr>
            </w:pPr>
          </w:p>
        </w:tc>
        <w:tc>
          <w:tcPr>
            <w:tcW w:w="765" w:type="dxa"/>
            <w:noWrap/>
            <w:vAlign w:val="center"/>
          </w:tcPr>
          <w:p>
            <w:pPr>
              <w:widowControl/>
              <w:jc w:val="center"/>
              <w:rPr>
                <w:rFonts w:hint="eastAsia" w:ascii="宋体" w:hAnsi="宋体" w:eastAsia="宋体" w:cs="宋体"/>
                <w:b w:val="0"/>
                <w:bCs w:val="0"/>
                <w:color w:val="auto"/>
                <w:kern w:val="0"/>
                <w:sz w:val="18"/>
                <w:szCs w:val="18"/>
              </w:rPr>
            </w:pPr>
            <w:r>
              <w:rPr>
                <w:rFonts w:hint="eastAsia" w:ascii="宋体" w:hAnsi="宋体" w:eastAsia="宋体" w:cs="宋体"/>
                <w:b/>
                <w:bCs/>
                <w:color w:val="auto"/>
                <w:kern w:val="0"/>
                <w:sz w:val="18"/>
                <w:szCs w:val="18"/>
                <w:lang w:val="en-US" w:eastAsia="zh-CN"/>
              </w:rPr>
              <w:t>0</w:t>
            </w:r>
          </w:p>
        </w:tc>
        <w:tc>
          <w:tcPr>
            <w:tcW w:w="750" w:type="dxa"/>
            <w:noWrap/>
            <w:vAlign w:val="center"/>
          </w:tcPr>
          <w:p>
            <w:pPr>
              <w:widowControl/>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611"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业</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核</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心</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w:t>
            </w: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汽车构造</w:t>
            </w:r>
          </w:p>
        </w:tc>
        <w:tc>
          <w:tcPr>
            <w:tcW w:w="645" w:type="dxa"/>
            <w:noWrap/>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106</w:t>
            </w:r>
          </w:p>
        </w:tc>
        <w:tc>
          <w:tcPr>
            <w:tcW w:w="58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8</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34</w:t>
            </w:r>
          </w:p>
        </w:tc>
        <w:tc>
          <w:tcPr>
            <w:tcW w:w="611" w:type="dxa"/>
            <w:vAlign w:val="center"/>
          </w:tcPr>
          <w:p>
            <w:pPr>
              <w:tabs>
                <w:tab w:val="left" w:pos="348"/>
              </w:tabs>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14*4</w:t>
            </w:r>
          </w:p>
        </w:tc>
        <w:tc>
          <w:tcPr>
            <w:tcW w:w="750" w:type="dxa"/>
            <w:noWrap/>
            <w:vAlign w:val="center"/>
          </w:tcPr>
          <w:p>
            <w:pPr>
              <w:spacing w:line="280" w:lineRule="exact"/>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13*</w:t>
            </w:r>
            <w:r>
              <w:rPr>
                <w:rFonts w:hint="eastAsia" w:ascii="宋体" w:hAnsi="宋体" w:eastAsia="宋体" w:cs="宋体"/>
                <w:color w:val="auto"/>
                <w:sz w:val="18"/>
                <w:szCs w:val="18"/>
                <w:lang w:val="en-US" w:eastAsia="zh-CN"/>
              </w:rPr>
              <w:t>6</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汽车电器</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80</w:t>
            </w:r>
          </w:p>
        </w:tc>
        <w:tc>
          <w:tcPr>
            <w:tcW w:w="585" w:type="dxa"/>
            <w:noWrap/>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sz w:val="18"/>
                <w:szCs w:val="18"/>
                <w:lang w:val="en-US" w:eastAsia="zh-CN"/>
              </w:rPr>
              <w:t>54</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134</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b/>
                <w:bCs/>
                <w:color w:val="auto"/>
                <w:sz w:val="18"/>
                <w:szCs w:val="18"/>
                <w:lang w:val="en-US" w:eastAsia="zh-CN"/>
              </w:rPr>
              <w:t>7</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14*4</w:t>
            </w:r>
          </w:p>
        </w:tc>
        <w:tc>
          <w:tcPr>
            <w:tcW w:w="750"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13*</w:t>
            </w:r>
            <w:r>
              <w:rPr>
                <w:rFonts w:hint="eastAsia" w:ascii="宋体" w:hAnsi="宋体" w:eastAsia="宋体" w:cs="宋体"/>
                <w:color w:val="auto"/>
                <w:sz w:val="18"/>
                <w:szCs w:val="18"/>
                <w:lang w:val="en-US" w:eastAsia="zh-CN"/>
              </w:rPr>
              <w:t>6</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w:t>
            </w:r>
            <w:r>
              <w:rPr>
                <w:rFonts w:hint="eastAsia" w:ascii="宋体" w:hAnsi="宋体" w:eastAsia="宋体" w:cs="宋体"/>
                <w:color w:val="auto"/>
                <w:sz w:val="18"/>
                <w:szCs w:val="18"/>
                <w:lang w:eastAsia="zh-CN"/>
              </w:rPr>
              <w:t>维修技术</w:t>
            </w:r>
          </w:p>
        </w:tc>
        <w:tc>
          <w:tcPr>
            <w:tcW w:w="645" w:type="dxa"/>
            <w:noWrap/>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41</w:t>
            </w:r>
          </w:p>
        </w:tc>
        <w:tc>
          <w:tcPr>
            <w:tcW w:w="585" w:type="dxa"/>
            <w:noWrap/>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24</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65</w:t>
            </w:r>
          </w:p>
        </w:tc>
        <w:tc>
          <w:tcPr>
            <w:tcW w:w="611" w:type="dxa"/>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3.5</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13*</w:t>
            </w:r>
            <w:r>
              <w:rPr>
                <w:rFonts w:hint="eastAsia" w:ascii="宋体" w:hAnsi="宋体" w:eastAsia="宋体" w:cs="宋体"/>
                <w:color w:val="auto"/>
                <w:sz w:val="18"/>
                <w:szCs w:val="18"/>
                <w:lang w:val="en-US" w:eastAsia="zh-CN"/>
              </w:rPr>
              <w:t>5</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汽车检测与故障诊断技术</w:t>
            </w:r>
          </w:p>
        </w:tc>
        <w:tc>
          <w:tcPr>
            <w:tcW w:w="645"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50</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34</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84</w:t>
            </w:r>
          </w:p>
        </w:tc>
        <w:tc>
          <w:tcPr>
            <w:tcW w:w="611" w:type="dxa"/>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4.5</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6</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发动机电控技术</w:t>
            </w:r>
          </w:p>
        </w:tc>
        <w:tc>
          <w:tcPr>
            <w:tcW w:w="645" w:type="dxa"/>
            <w:noWrap/>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58</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78</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4.5</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13*6</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汽车底盘控制技术</w:t>
            </w:r>
          </w:p>
        </w:tc>
        <w:tc>
          <w:tcPr>
            <w:tcW w:w="645"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50</w:t>
            </w:r>
          </w:p>
        </w:tc>
        <w:tc>
          <w:tcPr>
            <w:tcW w:w="585" w:type="dxa"/>
            <w:noWrap/>
            <w:vAlign w:val="center"/>
          </w:tcPr>
          <w:p>
            <w:pPr>
              <w:spacing w:line="280" w:lineRule="exact"/>
              <w:jc w:val="center"/>
              <w:rPr>
                <w:rFonts w:hint="eastAsia"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20</w:t>
            </w:r>
          </w:p>
        </w:tc>
        <w:tc>
          <w:tcPr>
            <w:tcW w:w="630"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70</w:t>
            </w:r>
          </w:p>
        </w:tc>
        <w:tc>
          <w:tcPr>
            <w:tcW w:w="611"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4</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5</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w:t>
            </w:r>
          </w:p>
        </w:tc>
        <w:tc>
          <w:tcPr>
            <w:tcW w:w="1668"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汽车美容与</w:t>
            </w:r>
            <w:r>
              <w:rPr>
                <w:rFonts w:hint="eastAsia" w:ascii="宋体" w:hAnsi="宋体" w:eastAsia="宋体" w:cs="宋体"/>
                <w:color w:val="auto"/>
                <w:sz w:val="18"/>
                <w:szCs w:val="18"/>
                <w:lang w:val="en-US" w:eastAsia="zh-CN"/>
              </w:rPr>
              <w:t>装潢</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28</w:t>
            </w:r>
          </w:p>
        </w:tc>
        <w:tc>
          <w:tcPr>
            <w:tcW w:w="58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0</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kern w:val="0"/>
                <w:sz w:val="18"/>
                <w:szCs w:val="18"/>
                <w:lang w:val="en-US" w:eastAsia="zh-CN"/>
              </w:rPr>
              <w:t>28</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1.5</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2</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汽车及配件营销</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24</w:t>
            </w:r>
          </w:p>
        </w:tc>
        <w:tc>
          <w:tcPr>
            <w:tcW w:w="58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18</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42</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9</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w:t>
            </w:r>
            <w:r>
              <w:rPr>
                <w:rFonts w:hint="eastAsia" w:ascii="宋体" w:hAnsi="宋体" w:eastAsia="宋体" w:cs="宋体"/>
                <w:color w:val="auto"/>
                <w:sz w:val="18"/>
                <w:szCs w:val="18"/>
                <w:lang w:val="en-US" w:eastAsia="zh-CN"/>
              </w:rPr>
              <w:t>新能源</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20</w:t>
            </w:r>
          </w:p>
        </w:tc>
        <w:tc>
          <w:tcPr>
            <w:tcW w:w="58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22</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42</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611"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2774" w:type="dxa"/>
            <w:gridSpan w:val="7"/>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457</w:t>
            </w:r>
          </w:p>
        </w:tc>
        <w:tc>
          <w:tcPr>
            <w:tcW w:w="585" w:type="dxa"/>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220</w:t>
            </w:r>
          </w:p>
        </w:tc>
        <w:tc>
          <w:tcPr>
            <w:tcW w:w="630" w:type="dxa"/>
            <w:noWrap/>
            <w:vAlign w:val="center"/>
          </w:tcPr>
          <w:p>
            <w:pPr>
              <w:spacing w:line="280" w:lineRule="exact"/>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sz w:val="18"/>
                <w:szCs w:val="18"/>
                <w:lang w:val="en-US" w:eastAsia="zh-CN"/>
              </w:rPr>
              <w:t>677</w:t>
            </w:r>
          </w:p>
        </w:tc>
        <w:tc>
          <w:tcPr>
            <w:tcW w:w="611" w:type="dxa"/>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val="0"/>
                <w:bCs w:val="0"/>
                <w:color w:val="auto"/>
                <w:sz w:val="18"/>
                <w:szCs w:val="18"/>
                <w:lang w:val="en-US" w:eastAsia="zh-CN"/>
              </w:rPr>
              <w:t>36.5</w:t>
            </w:r>
          </w:p>
        </w:tc>
        <w:tc>
          <w:tcPr>
            <w:tcW w:w="604" w:type="dxa"/>
            <w:noWrap/>
            <w:vAlign w:val="center"/>
          </w:tcPr>
          <w:p>
            <w:pPr>
              <w:spacing w:line="280" w:lineRule="exact"/>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0</w:t>
            </w:r>
          </w:p>
        </w:tc>
        <w:tc>
          <w:tcPr>
            <w:tcW w:w="735" w:type="dxa"/>
            <w:noWrap/>
            <w:vAlign w:val="center"/>
          </w:tcPr>
          <w:p>
            <w:pPr>
              <w:spacing w:line="280" w:lineRule="exact"/>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112</w:t>
            </w:r>
          </w:p>
        </w:tc>
        <w:tc>
          <w:tcPr>
            <w:tcW w:w="750" w:type="dxa"/>
            <w:noWrap/>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299</w:t>
            </w:r>
          </w:p>
        </w:tc>
        <w:tc>
          <w:tcPr>
            <w:tcW w:w="765" w:type="dxa"/>
            <w:noWrap/>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266</w:t>
            </w:r>
          </w:p>
        </w:tc>
        <w:tc>
          <w:tcPr>
            <w:tcW w:w="750" w:type="dxa"/>
            <w:noWrap/>
            <w:vAlign w:val="center"/>
          </w:tcPr>
          <w:p>
            <w:pPr>
              <w:widowControl/>
              <w:jc w:val="left"/>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611"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29" w:type="dxa"/>
            <w:gridSpan w:val="2"/>
            <w:vMerge w:val="restart"/>
            <w:tcBorders>
              <w:top w:val="single" w:color="auto" w:sz="4" w:space="0"/>
            </w:tcBorders>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职</w:t>
            </w:r>
          </w:p>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业</w:t>
            </w:r>
          </w:p>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技</w:t>
            </w:r>
          </w:p>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能</w:t>
            </w:r>
          </w:p>
          <w:p>
            <w:pPr>
              <w:jc w:val="center"/>
              <w:rPr>
                <w:rFonts w:hint="eastAsia" w:ascii="宋体" w:hAnsi="宋体" w:eastAsia="宋体" w:cs="宋体"/>
                <w:b/>
                <w:bCs/>
                <w:color w:val="auto"/>
                <w:kern w:val="0"/>
                <w:sz w:val="18"/>
                <w:szCs w:val="18"/>
              </w:rPr>
            </w:pPr>
            <w:r>
              <w:rPr>
                <w:rFonts w:hint="eastAsia" w:ascii="宋体" w:hAnsi="宋体" w:eastAsia="宋体" w:cs="宋体"/>
                <w:color w:val="auto"/>
                <w:kern w:val="0"/>
                <w:sz w:val="18"/>
                <w:szCs w:val="18"/>
              </w:rPr>
              <w:t>训练</w:t>
            </w:r>
          </w:p>
        </w:tc>
        <w:tc>
          <w:tcPr>
            <w:tcW w:w="677" w:type="dxa"/>
            <w:gridSpan w:val="4"/>
            <w:tcBorders>
              <w:top w:val="single" w:color="auto" w:sz="4" w:space="0"/>
            </w:tcBorders>
            <w:vAlign w:val="center"/>
          </w:tcPr>
          <w:p>
            <w:pPr>
              <w:widowControl/>
              <w:jc w:val="center"/>
              <w:rPr>
                <w:rFonts w:hint="eastAsia" w:ascii="宋体" w:hAnsi="宋体" w:eastAsia="宋体" w:cs="宋体"/>
                <w:bCs/>
                <w:color w:val="auto"/>
                <w:kern w:val="0"/>
                <w:sz w:val="18"/>
                <w:szCs w:val="18"/>
              </w:rPr>
            </w:pPr>
            <w:r>
              <w:rPr>
                <w:rFonts w:hint="eastAsia" w:ascii="宋体" w:hAnsi="宋体" w:eastAsia="宋体" w:cs="宋体"/>
                <w:color w:val="auto"/>
                <w:kern w:val="0"/>
                <w:sz w:val="18"/>
                <w:szCs w:val="18"/>
                <w:lang w:val="en-US" w:eastAsia="zh-CN"/>
              </w:rPr>
              <w:t>1</w:t>
            </w:r>
          </w:p>
        </w:tc>
        <w:tc>
          <w:tcPr>
            <w:tcW w:w="1668" w:type="dxa"/>
            <w:vAlign w:val="center"/>
          </w:tcPr>
          <w:p>
            <w:pPr>
              <w:spacing w:line="280" w:lineRule="exact"/>
              <w:jc w:val="center"/>
              <w:rPr>
                <w:rFonts w:hint="eastAsia" w:ascii="宋体" w:hAnsi="宋体" w:eastAsia="宋体" w:cs="宋体"/>
                <w:b/>
                <w:bCs/>
                <w:color w:val="auto"/>
                <w:kern w:val="0"/>
                <w:sz w:val="18"/>
                <w:szCs w:val="18"/>
              </w:rPr>
            </w:pPr>
            <w:r>
              <w:rPr>
                <w:rFonts w:hint="eastAsia" w:ascii="宋体" w:hAnsi="宋体" w:eastAsia="宋体" w:cs="宋体"/>
                <w:color w:val="auto"/>
                <w:sz w:val="18"/>
                <w:szCs w:val="18"/>
              </w:rPr>
              <w:t>发动机实习</w:t>
            </w:r>
          </w:p>
        </w:tc>
        <w:tc>
          <w:tcPr>
            <w:tcW w:w="645"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0</w:t>
            </w:r>
          </w:p>
        </w:tc>
        <w:tc>
          <w:tcPr>
            <w:tcW w:w="585"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30"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11"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lang w:val="en-US" w:eastAsia="zh-CN"/>
              </w:rPr>
              <w:t>4</w:t>
            </w:r>
          </w:p>
        </w:tc>
        <w:tc>
          <w:tcPr>
            <w:tcW w:w="604" w:type="dxa"/>
            <w:noWrap/>
            <w:vAlign w:val="center"/>
          </w:tcPr>
          <w:p>
            <w:pPr>
              <w:spacing w:line="280" w:lineRule="exact"/>
              <w:jc w:val="center"/>
              <w:rPr>
                <w:rFonts w:hint="eastAsia" w:ascii="宋体" w:hAnsi="宋体" w:eastAsia="宋体" w:cs="宋体"/>
                <w:b/>
                <w:color w:val="auto"/>
                <w:kern w:val="0"/>
                <w:sz w:val="18"/>
                <w:szCs w:val="18"/>
              </w:rPr>
            </w:pPr>
          </w:p>
        </w:tc>
        <w:tc>
          <w:tcPr>
            <w:tcW w:w="735"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4*24</w:t>
            </w:r>
          </w:p>
        </w:tc>
        <w:tc>
          <w:tcPr>
            <w:tcW w:w="750" w:type="dxa"/>
            <w:noWrap/>
            <w:vAlign w:val="center"/>
          </w:tcPr>
          <w:p>
            <w:pPr>
              <w:spacing w:line="280" w:lineRule="exact"/>
              <w:jc w:val="center"/>
              <w:rPr>
                <w:rFonts w:hint="eastAsia" w:ascii="宋体" w:hAnsi="宋体" w:eastAsia="宋体" w:cs="宋体"/>
                <w:b/>
                <w:color w:val="auto"/>
                <w:kern w:val="0"/>
                <w:sz w:val="18"/>
                <w:szCs w:val="18"/>
              </w:rPr>
            </w:pPr>
          </w:p>
        </w:tc>
        <w:tc>
          <w:tcPr>
            <w:tcW w:w="765" w:type="dxa"/>
            <w:noWrap/>
            <w:vAlign w:val="center"/>
          </w:tcPr>
          <w:p>
            <w:pPr>
              <w:spacing w:line="280" w:lineRule="exact"/>
              <w:jc w:val="center"/>
              <w:rPr>
                <w:rFonts w:hint="eastAsia" w:ascii="宋体" w:hAnsi="宋体" w:eastAsia="宋体" w:cs="宋体"/>
                <w:b/>
                <w:color w:val="auto"/>
                <w:kern w:val="0"/>
                <w:sz w:val="18"/>
                <w:szCs w:val="18"/>
              </w:rPr>
            </w:pPr>
          </w:p>
        </w:tc>
        <w:tc>
          <w:tcPr>
            <w:tcW w:w="750"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实践</w:t>
            </w:r>
          </w:p>
        </w:tc>
        <w:tc>
          <w:tcPr>
            <w:tcW w:w="611"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29" w:type="dxa"/>
            <w:gridSpan w:val="2"/>
            <w:vMerge w:val="continue"/>
            <w:vAlign w:val="center"/>
          </w:tcPr>
          <w:p>
            <w:pPr>
              <w:jc w:val="center"/>
              <w:rPr>
                <w:rFonts w:hint="eastAsia" w:ascii="宋体" w:hAnsi="宋体" w:eastAsia="宋体" w:cs="宋体"/>
                <w:b/>
                <w:bCs/>
                <w:color w:val="auto"/>
                <w:kern w:val="0"/>
                <w:sz w:val="18"/>
                <w:szCs w:val="18"/>
              </w:rPr>
            </w:pPr>
          </w:p>
        </w:tc>
        <w:tc>
          <w:tcPr>
            <w:tcW w:w="677" w:type="dxa"/>
            <w:gridSpan w:val="4"/>
            <w:vAlign w:val="center"/>
          </w:tcPr>
          <w:p>
            <w:pPr>
              <w:widowControl/>
              <w:jc w:val="center"/>
              <w:rPr>
                <w:rFonts w:hint="eastAsia" w:ascii="宋体" w:hAnsi="宋体" w:eastAsia="宋体" w:cs="宋体"/>
                <w:bCs/>
                <w:color w:val="auto"/>
                <w:kern w:val="0"/>
                <w:sz w:val="18"/>
                <w:szCs w:val="18"/>
              </w:rPr>
            </w:pPr>
            <w:r>
              <w:rPr>
                <w:rFonts w:hint="eastAsia" w:ascii="宋体" w:hAnsi="宋体" w:eastAsia="宋体" w:cs="宋体"/>
                <w:color w:val="auto"/>
                <w:kern w:val="0"/>
                <w:sz w:val="18"/>
                <w:szCs w:val="18"/>
                <w:lang w:val="en-US" w:eastAsia="zh-CN"/>
              </w:rPr>
              <w:t>2</w:t>
            </w:r>
          </w:p>
        </w:tc>
        <w:tc>
          <w:tcPr>
            <w:tcW w:w="1668" w:type="dxa"/>
            <w:vAlign w:val="center"/>
          </w:tcPr>
          <w:p>
            <w:pPr>
              <w:spacing w:line="240" w:lineRule="exact"/>
              <w:jc w:val="center"/>
              <w:rPr>
                <w:rFonts w:hint="eastAsia" w:ascii="宋体" w:hAnsi="宋体" w:eastAsia="宋体" w:cs="宋体"/>
                <w:b/>
                <w:bCs/>
                <w:color w:val="auto"/>
                <w:kern w:val="0"/>
                <w:sz w:val="18"/>
                <w:szCs w:val="18"/>
              </w:rPr>
            </w:pPr>
            <w:r>
              <w:rPr>
                <w:rFonts w:hint="eastAsia" w:ascii="宋体" w:hAnsi="宋体" w:eastAsia="宋体" w:cs="宋体"/>
                <w:color w:val="auto"/>
                <w:sz w:val="18"/>
                <w:szCs w:val="18"/>
              </w:rPr>
              <w:t>底盘实习</w:t>
            </w:r>
            <w:r>
              <w:rPr>
                <w:rFonts w:hint="eastAsia" w:ascii="宋体" w:hAnsi="宋体" w:eastAsia="宋体" w:cs="宋体"/>
                <w:b/>
                <w:color w:val="auto"/>
                <w:sz w:val="18"/>
                <w:szCs w:val="18"/>
              </w:rPr>
              <w:t>（中级工考证）</w:t>
            </w:r>
          </w:p>
        </w:tc>
        <w:tc>
          <w:tcPr>
            <w:tcW w:w="645"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0</w:t>
            </w:r>
          </w:p>
        </w:tc>
        <w:tc>
          <w:tcPr>
            <w:tcW w:w="585"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120</w:t>
            </w:r>
          </w:p>
        </w:tc>
        <w:tc>
          <w:tcPr>
            <w:tcW w:w="630"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120</w:t>
            </w:r>
          </w:p>
        </w:tc>
        <w:tc>
          <w:tcPr>
            <w:tcW w:w="611"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lang w:val="en-US" w:eastAsia="zh-CN"/>
              </w:rPr>
              <w:t>5</w:t>
            </w:r>
          </w:p>
        </w:tc>
        <w:tc>
          <w:tcPr>
            <w:tcW w:w="604" w:type="dxa"/>
            <w:noWrap/>
            <w:vAlign w:val="center"/>
          </w:tcPr>
          <w:p>
            <w:pPr>
              <w:spacing w:line="280" w:lineRule="exact"/>
              <w:jc w:val="center"/>
              <w:rPr>
                <w:rFonts w:hint="eastAsia" w:ascii="宋体" w:hAnsi="宋体" w:eastAsia="宋体" w:cs="宋体"/>
                <w:b/>
                <w:color w:val="auto"/>
                <w:kern w:val="0"/>
                <w:sz w:val="18"/>
                <w:szCs w:val="18"/>
              </w:rPr>
            </w:pPr>
          </w:p>
        </w:tc>
        <w:tc>
          <w:tcPr>
            <w:tcW w:w="735" w:type="dxa"/>
            <w:noWrap/>
            <w:vAlign w:val="center"/>
          </w:tcPr>
          <w:p>
            <w:pPr>
              <w:spacing w:line="280" w:lineRule="exact"/>
              <w:jc w:val="center"/>
              <w:rPr>
                <w:rFonts w:hint="eastAsia" w:ascii="宋体" w:hAnsi="宋体" w:eastAsia="宋体" w:cs="宋体"/>
                <w:b/>
                <w:color w:val="auto"/>
                <w:kern w:val="0"/>
                <w:sz w:val="18"/>
                <w:szCs w:val="18"/>
              </w:rPr>
            </w:pPr>
          </w:p>
        </w:tc>
        <w:tc>
          <w:tcPr>
            <w:tcW w:w="750"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5*24</w:t>
            </w:r>
          </w:p>
        </w:tc>
        <w:tc>
          <w:tcPr>
            <w:tcW w:w="765" w:type="dxa"/>
            <w:noWrap/>
            <w:vAlign w:val="center"/>
          </w:tcPr>
          <w:p>
            <w:pPr>
              <w:spacing w:line="280" w:lineRule="exact"/>
              <w:jc w:val="center"/>
              <w:rPr>
                <w:rFonts w:hint="eastAsia" w:ascii="宋体" w:hAnsi="宋体" w:eastAsia="宋体" w:cs="宋体"/>
                <w:b/>
                <w:color w:val="auto"/>
                <w:kern w:val="0"/>
                <w:sz w:val="18"/>
                <w:szCs w:val="18"/>
              </w:rPr>
            </w:pPr>
          </w:p>
        </w:tc>
        <w:tc>
          <w:tcPr>
            <w:tcW w:w="750"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实践</w:t>
            </w:r>
          </w:p>
        </w:tc>
        <w:tc>
          <w:tcPr>
            <w:tcW w:w="611"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29" w:type="dxa"/>
            <w:gridSpan w:val="2"/>
            <w:vMerge w:val="continue"/>
            <w:vAlign w:val="center"/>
          </w:tcPr>
          <w:p>
            <w:pPr>
              <w:jc w:val="center"/>
              <w:rPr>
                <w:rFonts w:hint="eastAsia" w:ascii="宋体" w:hAnsi="宋体" w:eastAsia="宋体" w:cs="宋体"/>
                <w:b/>
                <w:bCs/>
                <w:color w:val="auto"/>
                <w:kern w:val="0"/>
                <w:sz w:val="18"/>
                <w:szCs w:val="18"/>
              </w:rPr>
            </w:pPr>
          </w:p>
        </w:tc>
        <w:tc>
          <w:tcPr>
            <w:tcW w:w="677" w:type="dxa"/>
            <w:gridSpan w:val="4"/>
            <w:vAlign w:val="center"/>
          </w:tcPr>
          <w:p>
            <w:pPr>
              <w:widowControl/>
              <w:jc w:val="center"/>
              <w:rPr>
                <w:rFonts w:hint="eastAsia" w:ascii="宋体" w:hAnsi="宋体" w:eastAsia="宋体" w:cs="宋体"/>
                <w:bCs/>
                <w:color w:val="auto"/>
                <w:kern w:val="0"/>
                <w:sz w:val="18"/>
                <w:szCs w:val="18"/>
              </w:rPr>
            </w:pPr>
            <w:r>
              <w:rPr>
                <w:rFonts w:hint="eastAsia" w:ascii="宋体" w:hAnsi="宋体" w:eastAsia="宋体" w:cs="宋体"/>
                <w:color w:val="auto"/>
                <w:kern w:val="0"/>
                <w:sz w:val="18"/>
                <w:szCs w:val="18"/>
                <w:lang w:val="en-US" w:eastAsia="zh-CN"/>
              </w:rPr>
              <w:t>3</w:t>
            </w:r>
          </w:p>
        </w:tc>
        <w:tc>
          <w:tcPr>
            <w:tcW w:w="1668" w:type="dxa"/>
            <w:vAlign w:val="center"/>
          </w:tcPr>
          <w:p>
            <w:pPr>
              <w:spacing w:line="240" w:lineRule="auto"/>
              <w:jc w:val="center"/>
              <w:rPr>
                <w:rFonts w:hint="eastAsia" w:ascii="宋体" w:hAnsi="宋体" w:eastAsia="宋体" w:cs="宋体"/>
                <w:b/>
                <w:bCs/>
                <w:color w:val="auto"/>
                <w:kern w:val="0"/>
                <w:sz w:val="18"/>
                <w:szCs w:val="18"/>
              </w:rPr>
            </w:pPr>
            <w:r>
              <w:rPr>
                <w:rFonts w:hint="eastAsia" w:ascii="宋体" w:hAnsi="宋体" w:eastAsia="宋体" w:cs="宋体"/>
                <w:color w:val="auto"/>
                <w:sz w:val="18"/>
                <w:szCs w:val="18"/>
              </w:rPr>
              <w:t>汽车电器及电子控制技术实习</w:t>
            </w:r>
          </w:p>
        </w:tc>
        <w:tc>
          <w:tcPr>
            <w:tcW w:w="645"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0</w:t>
            </w:r>
          </w:p>
        </w:tc>
        <w:tc>
          <w:tcPr>
            <w:tcW w:w="585"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30"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11"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lang w:val="en-US" w:eastAsia="zh-CN"/>
              </w:rPr>
              <w:t>4</w:t>
            </w:r>
          </w:p>
        </w:tc>
        <w:tc>
          <w:tcPr>
            <w:tcW w:w="604"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jc w:val="center"/>
              <w:rPr>
                <w:rFonts w:hint="eastAsia" w:ascii="宋体" w:hAnsi="宋体" w:eastAsia="宋体" w:cs="宋体"/>
                <w:b/>
                <w:color w:val="auto"/>
                <w:kern w:val="0"/>
                <w:sz w:val="18"/>
                <w:szCs w:val="18"/>
              </w:rPr>
            </w:pPr>
          </w:p>
        </w:tc>
        <w:tc>
          <w:tcPr>
            <w:tcW w:w="750" w:type="dxa"/>
            <w:noWrap/>
            <w:vAlign w:val="center"/>
          </w:tcPr>
          <w:p>
            <w:pPr>
              <w:jc w:val="center"/>
              <w:rPr>
                <w:rFonts w:hint="eastAsia" w:ascii="宋体" w:hAnsi="宋体" w:eastAsia="宋体" w:cs="宋体"/>
                <w:b/>
                <w:color w:val="auto"/>
                <w:kern w:val="0"/>
                <w:sz w:val="18"/>
                <w:szCs w:val="18"/>
              </w:rPr>
            </w:pPr>
          </w:p>
        </w:tc>
        <w:tc>
          <w:tcPr>
            <w:tcW w:w="765"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4*24</w:t>
            </w:r>
          </w:p>
        </w:tc>
        <w:tc>
          <w:tcPr>
            <w:tcW w:w="750"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实践</w:t>
            </w:r>
          </w:p>
        </w:tc>
        <w:tc>
          <w:tcPr>
            <w:tcW w:w="611"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2774" w:type="dxa"/>
            <w:gridSpan w:val="7"/>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sz w:val="18"/>
                <w:szCs w:val="18"/>
                <w:lang w:val="en-US" w:eastAsia="zh-CN"/>
              </w:rPr>
              <w:t>0</w:t>
            </w:r>
          </w:p>
        </w:tc>
        <w:tc>
          <w:tcPr>
            <w:tcW w:w="585" w:type="dxa"/>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312</w:t>
            </w:r>
          </w:p>
        </w:tc>
        <w:tc>
          <w:tcPr>
            <w:tcW w:w="630" w:type="dxa"/>
            <w:noWrap/>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312</w:t>
            </w:r>
          </w:p>
        </w:tc>
        <w:tc>
          <w:tcPr>
            <w:tcW w:w="611" w:type="dxa"/>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13</w:t>
            </w:r>
          </w:p>
        </w:tc>
        <w:tc>
          <w:tcPr>
            <w:tcW w:w="604" w:type="dxa"/>
            <w:noWrap/>
            <w:vAlign w:val="center"/>
          </w:tcPr>
          <w:p>
            <w:pPr>
              <w:jc w:val="center"/>
              <w:rPr>
                <w:rFonts w:hint="eastAsia" w:ascii="宋体" w:hAnsi="宋体" w:eastAsia="宋体" w:cs="宋体"/>
                <w:b/>
                <w:bCs/>
                <w:color w:val="auto"/>
                <w:kern w:val="0"/>
                <w:sz w:val="18"/>
                <w:szCs w:val="18"/>
              </w:rPr>
            </w:pPr>
          </w:p>
        </w:tc>
        <w:tc>
          <w:tcPr>
            <w:tcW w:w="735" w:type="dxa"/>
            <w:noWrap/>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96</w:t>
            </w:r>
          </w:p>
        </w:tc>
        <w:tc>
          <w:tcPr>
            <w:tcW w:w="750" w:type="dxa"/>
            <w:noWrap/>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120</w:t>
            </w:r>
          </w:p>
        </w:tc>
        <w:tc>
          <w:tcPr>
            <w:tcW w:w="765" w:type="dxa"/>
            <w:noWrap/>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96</w:t>
            </w:r>
          </w:p>
        </w:tc>
        <w:tc>
          <w:tcPr>
            <w:tcW w:w="750" w:type="dxa"/>
            <w:noWrap/>
            <w:vAlign w:val="center"/>
          </w:tcPr>
          <w:p>
            <w:pPr>
              <w:widowControl/>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611"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noWrap/>
            <w:vAlign w:val="center"/>
          </w:tcPr>
          <w:p>
            <w:pPr>
              <w:widowControl/>
              <w:jc w:val="center"/>
              <w:rPr>
                <w:rFonts w:hint="eastAsia" w:ascii="宋体" w:hAnsi="宋体" w:eastAsia="宋体" w:cs="宋体"/>
                <w:color w:val="auto"/>
                <w:kern w:val="0"/>
                <w:sz w:val="18"/>
                <w:szCs w:val="18"/>
              </w:rPr>
            </w:pPr>
          </w:p>
        </w:tc>
        <w:tc>
          <w:tcPr>
            <w:tcW w:w="429"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综合实践</w:t>
            </w:r>
          </w:p>
        </w:tc>
        <w:tc>
          <w:tcPr>
            <w:tcW w:w="677" w:type="dxa"/>
            <w:gridSpan w:val="4"/>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668" w:type="dxa"/>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专业综合技能训练（或跟岗实习）</w:t>
            </w:r>
          </w:p>
        </w:tc>
        <w:tc>
          <w:tcPr>
            <w:tcW w:w="645" w:type="dxa"/>
            <w:noWrap/>
            <w:vAlign w:val="center"/>
          </w:tcPr>
          <w:p>
            <w:pPr>
              <w:widowControl/>
              <w:jc w:val="center"/>
              <w:rPr>
                <w:rFonts w:hint="eastAsia" w:ascii="宋体" w:hAnsi="宋体" w:eastAsia="宋体" w:cs="宋体"/>
                <w:color w:val="auto"/>
                <w:kern w:val="0"/>
                <w:sz w:val="18"/>
                <w:szCs w:val="18"/>
              </w:rPr>
            </w:pPr>
            <w:r>
              <w:rPr>
                <w:rFonts w:ascii="宋体" w:cs="宋体"/>
                <w:color w:val="auto"/>
                <w:kern w:val="0"/>
                <w:szCs w:val="21"/>
              </w:rPr>
              <w:t>0</w:t>
            </w:r>
          </w:p>
        </w:tc>
        <w:tc>
          <w:tcPr>
            <w:tcW w:w="58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160</w:t>
            </w:r>
          </w:p>
        </w:tc>
        <w:tc>
          <w:tcPr>
            <w:tcW w:w="63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160</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cs="宋体"/>
                <w:color w:val="auto"/>
                <w:kern w:val="0"/>
                <w:szCs w:val="21"/>
              </w:rPr>
              <w:t>8</w:t>
            </w:r>
          </w:p>
        </w:tc>
        <w:tc>
          <w:tcPr>
            <w:tcW w:w="604"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35" w:type="dxa"/>
            <w:noWrap/>
            <w:vAlign w:val="center"/>
          </w:tcPr>
          <w:p>
            <w:pPr>
              <w:widowControl/>
              <w:jc w:val="left"/>
              <w:rPr>
                <w:rFonts w:hint="default" w:ascii="宋体" w:hAnsi="宋体" w:eastAsia="宋体" w:cs="宋体"/>
                <w:color w:val="auto"/>
                <w:kern w:val="0"/>
                <w:sz w:val="18"/>
                <w:szCs w:val="18"/>
                <w:lang w:val="en-US" w:eastAsia="zh-CN"/>
              </w:rPr>
            </w:pPr>
          </w:p>
        </w:tc>
        <w:tc>
          <w:tcPr>
            <w:tcW w:w="75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6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5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3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实习报告</w:t>
            </w:r>
          </w:p>
        </w:tc>
        <w:tc>
          <w:tcPr>
            <w:tcW w:w="61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noWrap/>
            <w:vAlign w:val="center"/>
          </w:tcPr>
          <w:p>
            <w:pPr>
              <w:widowControl/>
              <w:jc w:val="center"/>
              <w:rPr>
                <w:rFonts w:hint="eastAsia" w:ascii="宋体" w:hAnsi="宋体" w:eastAsia="宋体" w:cs="宋体"/>
                <w:color w:val="auto"/>
                <w:kern w:val="0"/>
                <w:sz w:val="18"/>
                <w:szCs w:val="18"/>
              </w:rPr>
            </w:pPr>
          </w:p>
        </w:tc>
        <w:tc>
          <w:tcPr>
            <w:tcW w:w="429" w:type="dxa"/>
            <w:gridSpan w:val="2"/>
            <w:vMerge w:val="continue"/>
            <w:vAlign w:val="center"/>
          </w:tcPr>
          <w:p>
            <w:pPr>
              <w:widowControl/>
              <w:jc w:val="center"/>
              <w:rPr>
                <w:rFonts w:hint="eastAsia" w:ascii="宋体" w:hAnsi="宋体" w:eastAsia="宋体" w:cs="宋体"/>
                <w:color w:val="auto"/>
                <w:kern w:val="0"/>
                <w:sz w:val="18"/>
                <w:szCs w:val="18"/>
              </w:rPr>
            </w:pPr>
          </w:p>
        </w:tc>
        <w:tc>
          <w:tcPr>
            <w:tcW w:w="677" w:type="dxa"/>
            <w:gridSpan w:val="4"/>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668" w:type="dxa"/>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顶岗实习</w:t>
            </w:r>
          </w:p>
        </w:tc>
        <w:tc>
          <w:tcPr>
            <w:tcW w:w="645" w:type="dxa"/>
            <w:noWrap/>
            <w:vAlign w:val="center"/>
          </w:tcPr>
          <w:p>
            <w:pPr>
              <w:widowControl/>
              <w:jc w:val="center"/>
              <w:rPr>
                <w:rFonts w:hint="eastAsia" w:ascii="宋体" w:hAnsi="宋体" w:eastAsia="宋体" w:cs="宋体"/>
                <w:color w:val="auto"/>
                <w:kern w:val="0"/>
                <w:sz w:val="18"/>
                <w:szCs w:val="18"/>
              </w:rPr>
            </w:pPr>
            <w:r>
              <w:rPr>
                <w:rFonts w:ascii="宋体" w:cs="宋体"/>
                <w:color w:val="auto"/>
                <w:kern w:val="0"/>
                <w:szCs w:val="21"/>
              </w:rPr>
              <w:t>0</w:t>
            </w:r>
          </w:p>
        </w:tc>
        <w:tc>
          <w:tcPr>
            <w:tcW w:w="58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48</w:t>
            </w:r>
            <w:r>
              <w:rPr>
                <w:rFonts w:ascii="宋体" w:hAnsi="宋体" w:cs="宋体"/>
                <w:color w:val="auto"/>
                <w:kern w:val="0"/>
                <w:szCs w:val="21"/>
              </w:rPr>
              <w:t>0</w:t>
            </w:r>
          </w:p>
        </w:tc>
        <w:tc>
          <w:tcPr>
            <w:tcW w:w="63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48</w:t>
            </w:r>
            <w:r>
              <w:rPr>
                <w:rFonts w:ascii="宋体" w:hAnsi="宋体" w:cs="宋体"/>
                <w:color w:val="auto"/>
                <w:kern w:val="0"/>
                <w:szCs w:val="21"/>
              </w:rPr>
              <w:t>0</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cs="宋体"/>
                <w:color w:val="auto"/>
                <w:kern w:val="0"/>
                <w:szCs w:val="21"/>
              </w:rPr>
              <w:t>24</w:t>
            </w:r>
          </w:p>
        </w:tc>
        <w:tc>
          <w:tcPr>
            <w:tcW w:w="604"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3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5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6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50" w:type="dxa"/>
            <w:noWrap/>
            <w:vAlign w:val="center"/>
          </w:tcPr>
          <w:p>
            <w:pPr>
              <w:widowControl/>
              <w:rPr>
                <w:rFonts w:hint="eastAsia" w:ascii="宋体" w:hAnsi="宋体" w:eastAsia="宋体" w:cs="宋体"/>
                <w:color w:val="auto"/>
                <w:kern w:val="0"/>
                <w:sz w:val="18"/>
                <w:szCs w:val="18"/>
              </w:rPr>
            </w:pPr>
            <w:r>
              <w:rPr>
                <w:rFonts w:hint="eastAsia" w:ascii="宋体" w:hAnsi="宋体" w:cs="宋体"/>
                <w:color w:val="auto"/>
                <w:kern w:val="0"/>
                <w:szCs w:val="21"/>
              </w:rPr>
              <w:t>8*20</w:t>
            </w:r>
          </w:p>
        </w:tc>
        <w:tc>
          <w:tcPr>
            <w:tcW w:w="73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16</w:t>
            </w:r>
            <w:r>
              <w:rPr>
                <w:rFonts w:ascii="宋体" w:hAnsi="宋体" w:cs="宋体"/>
                <w:color w:val="auto"/>
                <w:kern w:val="0"/>
                <w:szCs w:val="21"/>
              </w:rPr>
              <w:t>*20</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实习报告</w:t>
            </w:r>
          </w:p>
        </w:tc>
        <w:tc>
          <w:tcPr>
            <w:tcW w:w="61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0</w:t>
            </w:r>
          </w:p>
        </w:tc>
        <w:tc>
          <w:tcPr>
            <w:tcW w:w="585" w:type="dxa"/>
            <w:vAlign w:val="center"/>
          </w:tcPr>
          <w:p>
            <w:pPr>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640</w:t>
            </w:r>
          </w:p>
        </w:tc>
        <w:tc>
          <w:tcPr>
            <w:tcW w:w="630" w:type="dxa"/>
            <w:tcBorders>
              <w:right w:val="single" w:color="auto" w:sz="4" w:space="0"/>
            </w:tcBorders>
            <w:noWrap/>
            <w:vAlign w:val="center"/>
          </w:tcPr>
          <w:p>
            <w:pPr>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640</w:t>
            </w:r>
          </w:p>
        </w:tc>
        <w:tc>
          <w:tcPr>
            <w:tcW w:w="611" w:type="dxa"/>
            <w:tcBorders>
              <w:left w:val="single" w:color="auto" w:sz="4" w:space="0"/>
            </w:tcBorders>
            <w:vAlign w:val="center"/>
          </w:tcPr>
          <w:p>
            <w:pPr>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rPr>
              <w:t>3</w:t>
            </w:r>
            <w:r>
              <w:rPr>
                <w:rFonts w:hint="eastAsia" w:ascii="宋体" w:hAnsi="宋体" w:eastAsia="宋体" w:cs="宋体"/>
                <w:b/>
                <w:bCs/>
                <w:color w:val="auto"/>
                <w:sz w:val="18"/>
                <w:szCs w:val="18"/>
                <w:lang w:val="en-US" w:eastAsia="zh-CN"/>
              </w:rPr>
              <w:t>2</w:t>
            </w: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6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50"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320</w:t>
            </w:r>
          </w:p>
        </w:tc>
        <w:tc>
          <w:tcPr>
            <w:tcW w:w="735"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320</w:t>
            </w:r>
          </w:p>
        </w:tc>
        <w:tc>
          <w:tcPr>
            <w:tcW w:w="707" w:type="dxa"/>
            <w:noWrap/>
            <w:vAlign w:val="center"/>
          </w:tcPr>
          <w:p>
            <w:pPr>
              <w:widowControl/>
              <w:jc w:val="center"/>
              <w:rPr>
                <w:rFonts w:hint="eastAsia" w:ascii="宋体" w:hAnsi="宋体" w:eastAsia="宋体" w:cs="宋体"/>
                <w:b/>
                <w:bCs/>
                <w:color w:val="auto"/>
                <w:kern w:val="0"/>
                <w:sz w:val="18"/>
                <w:szCs w:val="18"/>
              </w:rPr>
            </w:pPr>
          </w:p>
        </w:tc>
        <w:tc>
          <w:tcPr>
            <w:tcW w:w="611"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周课时</w:t>
            </w:r>
          </w:p>
        </w:tc>
        <w:tc>
          <w:tcPr>
            <w:tcW w:w="645" w:type="dxa"/>
            <w:noWrap/>
            <w:vAlign w:val="center"/>
          </w:tcPr>
          <w:p>
            <w:pPr>
              <w:widowControl/>
              <w:jc w:val="center"/>
              <w:rPr>
                <w:rFonts w:hint="eastAsia" w:ascii="宋体" w:hAnsi="宋体" w:eastAsia="宋体" w:cs="宋体"/>
                <w:b/>
                <w:color w:val="auto"/>
                <w:kern w:val="0"/>
                <w:sz w:val="18"/>
                <w:szCs w:val="18"/>
              </w:rPr>
            </w:pPr>
          </w:p>
        </w:tc>
        <w:tc>
          <w:tcPr>
            <w:tcW w:w="585" w:type="dxa"/>
            <w:noWrap/>
            <w:vAlign w:val="center"/>
          </w:tcPr>
          <w:p>
            <w:pPr>
              <w:widowControl/>
              <w:jc w:val="center"/>
              <w:rPr>
                <w:rFonts w:hint="eastAsia" w:ascii="宋体" w:hAnsi="宋体" w:eastAsia="宋体" w:cs="宋体"/>
                <w:b/>
                <w:color w:val="auto"/>
                <w:kern w:val="0"/>
                <w:sz w:val="18"/>
                <w:szCs w:val="18"/>
              </w:rPr>
            </w:pPr>
          </w:p>
        </w:tc>
        <w:tc>
          <w:tcPr>
            <w:tcW w:w="630" w:type="dxa"/>
            <w:tcBorders>
              <w:right w:val="single" w:color="auto" w:sz="4" w:space="0"/>
            </w:tcBorders>
            <w:vAlign w:val="center"/>
          </w:tcPr>
          <w:p>
            <w:pPr>
              <w:widowControl/>
              <w:ind w:firstLine="89" w:firstLineChars="49"/>
              <w:jc w:val="center"/>
              <w:rPr>
                <w:rFonts w:hint="eastAsia" w:ascii="宋体" w:hAnsi="宋体" w:eastAsia="宋体" w:cs="宋体"/>
                <w:b/>
                <w:bCs/>
                <w:color w:val="auto"/>
                <w:kern w:val="0"/>
                <w:sz w:val="18"/>
                <w:szCs w:val="18"/>
              </w:rPr>
            </w:pPr>
          </w:p>
        </w:tc>
        <w:tc>
          <w:tcPr>
            <w:tcW w:w="611" w:type="dxa"/>
            <w:tcBorders>
              <w:left w:val="single" w:color="auto" w:sz="4" w:space="0"/>
            </w:tcBorders>
            <w:vAlign w:val="center"/>
          </w:tcPr>
          <w:p>
            <w:pPr>
              <w:widowControl/>
              <w:ind w:firstLine="89" w:firstLineChars="49"/>
              <w:jc w:val="center"/>
              <w:rPr>
                <w:rFonts w:hint="eastAsia" w:ascii="宋体" w:hAnsi="宋体" w:eastAsia="宋体" w:cs="宋体"/>
                <w:b/>
                <w:bCs/>
                <w:color w:val="auto"/>
                <w:kern w:val="0"/>
                <w:sz w:val="18"/>
                <w:szCs w:val="18"/>
              </w:rPr>
            </w:pP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24　</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24　</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24　</w:t>
            </w:r>
          </w:p>
        </w:tc>
        <w:tc>
          <w:tcPr>
            <w:tcW w:w="765"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24　</w:t>
            </w:r>
          </w:p>
        </w:tc>
        <w:tc>
          <w:tcPr>
            <w:tcW w:w="750"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20　</w:t>
            </w:r>
          </w:p>
        </w:tc>
        <w:tc>
          <w:tcPr>
            <w:tcW w:w="735"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20　</w:t>
            </w:r>
          </w:p>
        </w:tc>
        <w:tc>
          <w:tcPr>
            <w:tcW w:w="707" w:type="dxa"/>
            <w:noWrap/>
            <w:vAlign w:val="center"/>
          </w:tcPr>
          <w:p>
            <w:pPr>
              <w:widowControl/>
              <w:jc w:val="center"/>
              <w:rPr>
                <w:rFonts w:hint="eastAsia" w:ascii="宋体" w:hAnsi="宋体" w:eastAsia="宋体" w:cs="宋体"/>
                <w:color w:val="auto"/>
                <w:kern w:val="0"/>
                <w:sz w:val="18"/>
                <w:szCs w:val="18"/>
              </w:rPr>
            </w:pPr>
          </w:p>
        </w:tc>
        <w:tc>
          <w:tcPr>
            <w:tcW w:w="61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总课时</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1256</w:t>
            </w:r>
          </w:p>
        </w:tc>
        <w:tc>
          <w:tcPr>
            <w:tcW w:w="585"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1257</w:t>
            </w:r>
          </w:p>
        </w:tc>
        <w:tc>
          <w:tcPr>
            <w:tcW w:w="630" w:type="dxa"/>
            <w:tcBorders>
              <w:right w:val="single" w:color="auto" w:sz="4" w:space="0"/>
            </w:tcBorders>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2513</w:t>
            </w:r>
          </w:p>
        </w:tc>
        <w:tc>
          <w:tcPr>
            <w:tcW w:w="611" w:type="dxa"/>
            <w:tcBorders>
              <w:left w:val="single" w:color="auto" w:sz="4" w:space="0"/>
            </w:tcBorders>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5"/>
                <w:szCs w:val="15"/>
                <w:lang w:val="en-US" w:eastAsia="zh-CN"/>
              </w:rPr>
              <w:t>134</w:t>
            </w:r>
          </w:p>
        </w:tc>
        <w:tc>
          <w:tcPr>
            <w:tcW w:w="604" w:type="dxa"/>
            <w:noWrap/>
            <w:vAlign w:val="center"/>
          </w:tcPr>
          <w:p>
            <w:pPr>
              <w:widowControl/>
              <w:jc w:val="both"/>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400</w:t>
            </w:r>
          </w:p>
        </w:tc>
        <w:tc>
          <w:tcPr>
            <w:tcW w:w="735"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490</w:t>
            </w:r>
          </w:p>
        </w:tc>
        <w:tc>
          <w:tcPr>
            <w:tcW w:w="750"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485</w:t>
            </w:r>
          </w:p>
        </w:tc>
        <w:tc>
          <w:tcPr>
            <w:tcW w:w="765"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498</w:t>
            </w:r>
          </w:p>
        </w:tc>
        <w:tc>
          <w:tcPr>
            <w:tcW w:w="750"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320</w:t>
            </w:r>
          </w:p>
        </w:tc>
        <w:tc>
          <w:tcPr>
            <w:tcW w:w="735"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320</w:t>
            </w:r>
          </w:p>
        </w:tc>
        <w:tc>
          <w:tcPr>
            <w:tcW w:w="707" w:type="dxa"/>
            <w:noWrap/>
            <w:vAlign w:val="center"/>
          </w:tcPr>
          <w:p>
            <w:pPr>
              <w:widowControl/>
              <w:jc w:val="center"/>
              <w:rPr>
                <w:rFonts w:hint="eastAsia" w:ascii="宋体" w:hAnsi="宋体" w:eastAsia="宋体" w:cs="宋体"/>
                <w:b/>
                <w:bCs/>
                <w:color w:val="auto"/>
                <w:kern w:val="0"/>
                <w:sz w:val="18"/>
                <w:szCs w:val="18"/>
              </w:rPr>
            </w:pPr>
          </w:p>
        </w:tc>
        <w:tc>
          <w:tcPr>
            <w:tcW w:w="611" w:type="dxa"/>
            <w:noWrap/>
            <w:vAlign w:val="center"/>
          </w:tcPr>
          <w:p>
            <w:pPr>
              <w:widowControl/>
              <w:jc w:val="center"/>
              <w:rPr>
                <w:rFonts w:hint="eastAsia" w:ascii="宋体" w:hAnsi="宋体" w:eastAsia="宋体" w:cs="宋体"/>
                <w:color w:val="auto"/>
                <w:kern w:val="0"/>
                <w:sz w:val="18"/>
                <w:szCs w:val="18"/>
              </w:rPr>
            </w:pPr>
          </w:p>
        </w:tc>
      </w:tr>
    </w:tbl>
    <w:p>
      <w:pPr>
        <w:pStyle w:val="6"/>
        <w:rPr>
          <w:rFonts w:ascii="方正仿宋_GB2312" w:hAnsi="方正仿宋_GB2312" w:eastAsia="方正仿宋_GB2312" w:cs="方正仿宋_GB2312"/>
          <w:color w:val="auto"/>
          <w:szCs w:val="32"/>
        </w:rPr>
      </w:pPr>
      <w:r>
        <w:rPr>
          <w:rFonts w:hint="eastAsia" w:ascii="方正仿宋_GB2312" w:hAnsi="方正仿宋_GB2312" w:eastAsia="方正仿宋_GB2312" w:cs="方正仿宋_GB2312"/>
          <w:color w:val="auto"/>
          <w:szCs w:val="32"/>
        </w:rPr>
        <w:t xml:space="preserve">， </w:t>
      </w: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1850" w:h="16783"/>
          <w:pgMar w:top="1270" w:right="1123" w:bottom="1213" w:left="1123"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rPr>
        <w:t>八、教学方式</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4"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632</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28</w:t>
            </w:r>
          </w:p>
        </w:tc>
        <w:tc>
          <w:tcPr>
            <w:tcW w:w="800"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660</w:t>
            </w:r>
          </w:p>
        </w:tc>
        <w:tc>
          <w:tcPr>
            <w:tcW w:w="914" w:type="pct"/>
            <w:vAlign w:val="center"/>
          </w:tcPr>
          <w:p>
            <w:pPr>
              <w:bidi w:val="0"/>
              <w:jc w:val="center"/>
              <w:rPr>
                <w:rFonts w:hint="eastAsia" w:ascii="宋体" w:hAnsi="宋体" w:eastAsia="宋体" w:cs="宋体"/>
                <w:color w:val="auto"/>
              </w:rPr>
            </w:pPr>
            <w:r>
              <w:rPr>
                <w:rFonts w:hint="eastAsia" w:ascii="宋体" w:hAnsi="宋体" w:eastAsia="宋体" w:cs="宋体"/>
                <w:color w:val="auto"/>
                <w:lang w:val="en-US" w:eastAsia="zh-CN"/>
              </w:rPr>
              <w:t>26.3%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rPr>
              <w:t>252</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0</w:t>
            </w:r>
          </w:p>
        </w:tc>
        <w:tc>
          <w:tcPr>
            <w:tcW w:w="800"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252</w:t>
            </w:r>
          </w:p>
        </w:tc>
        <w:tc>
          <w:tcPr>
            <w:tcW w:w="914" w:type="pct"/>
            <w:vAlign w:val="center"/>
          </w:tcPr>
          <w:p>
            <w:pPr>
              <w:bidi w:val="0"/>
              <w:jc w:val="center"/>
              <w:rPr>
                <w:rFonts w:hint="eastAsia" w:ascii="宋体" w:hAnsi="宋体" w:eastAsia="宋体" w:cs="宋体"/>
                <w:color w:val="auto"/>
              </w:rPr>
            </w:pPr>
            <w:r>
              <w:rPr>
                <w:rFonts w:hint="eastAsia" w:ascii="宋体" w:hAnsi="宋体" w:eastAsia="宋体" w:cs="宋体"/>
                <w:color w:val="auto"/>
                <w:lang w:val="en-US" w:eastAsia="zh-CN"/>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624</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1229</w:t>
            </w:r>
          </w:p>
        </w:tc>
        <w:tc>
          <w:tcPr>
            <w:tcW w:w="800"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1853</w:t>
            </w:r>
          </w:p>
        </w:tc>
        <w:tc>
          <w:tcPr>
            <w:tcW w:w="914" w:type="pct"/>
            <w:vAlign w:val="center"/>
          </w:tcPr>
          <w:p>
            <w:pPr>
              <w:bidi w:val="0"/>
              <w:jc w:val="center"/>
              <w:rPr>
                <w:rFonts w:hint="eastAsia" w:ascii="宋体" w:hAnsi="宋体" w:eastAsia="宋体" w:cs="宋体"/>
                <w:color w:val="auto"/>
              </w:rPr>
            </w:pPr>
            <w:r>
              <w:rPr>
                <w:rFonts w:hint="eastAsia" w:ascii="宋体" w:hAnsi="宋体" w:eastAsia="宋体" w:cs="宋体"/>
                <w:color w:val="auto"/>
                <w:lang w:val="en-US" w:eastAsia="zh-CN"/>
              </w:rPr>
              <w:t>73.7%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1256</w:t>
            </w:r>
          </w:p>
        </w:tc>
        <w:tc>
          <w:tcPr>
            <w:tcW w:w="1027"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1257</w:t>
            </w:r>
          </w:p>
        </w:tc>
        <w:tc>
          <w:tcPr>
            <w:tcW w:w="800" w:type="pct"/>
            <w:vAlign w:val="center"/>
          </w:tcPr>
          <w:p>
            <w:pPr>
              <w:bidi w:val="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2513</w:t>
            </w:r>
          </w:p>
        </w:tc>
        <w:tc>
          <w:tcPr>
            <w:tcW w:w="914" w:type="pct"/>
            <w:vAlign w:val="center"/>
          </w:tcPr>
          <w:p>
            <w:pPr>
              <w:bidi w:val="0"/>
              <w:jc w:val="center"/>
              <w:rPr>
                <w:rFonts w:hint="eastAsia" w:ascii="宋体" w:hAnsi="宋体" w:eastAsia="宋体" w:cs="宋体"/>
                <w:color w:val="auto"/>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7" w:type="pct"/>
            <w:vAlign w:val="center"/>
          </w:tcPr>
          <w:p>
            <w:pPr>
              <w:bidi w:val="0"/>
              <w:jc w:val="center"/>
              <w:rPr>
                <w:rFonts w:hint="eastAsia" w:ascii="宋体" w:hAnsi="宋体" w:eastAsia="宋体" w:cs="宋体"/>
                <w:color w:val="auto"/>
              </w:rPr>
            </w:pPr>
            <w:r>
              <w:rPr>
                <w:rFonts w:hint="eastAsia" w:ascii="宋体" w:hAnsi="宋体" w:eastAsia="宋体" w:cs="宋体"/>
                <w:color w:val="auto"/>
                <w:lang w:val="en-US" w:eastAsia="zh-CN"/>
              </w:rPr>
              <w:t>50%</w:t>
            </w:r>
          </w:p>
        </w:tc>
        <w:tc>
          <w:tcPr>
            <w:tcW w:w="1027" w:type="pct"/>
            <w:vAlign w:val="center"/>
          </w:tcPr>
          <w:p>
            <w:pPr>
              <w:bidi w:val="0"/>
              <w:jc w:val="center"/>
              <w:rPr>
                <w:rFonts w:hint="eastAsia" w:ascii="宋体" w:hAnsi="宋体" w:eastAsia="宋体" w:cs="宋体"/>
                <w:color w:val="auto"/>
              </w:rPr>
            </w:pPr>
            <w:r>
              <w:rPr>
                <w:rFonts w:hint="eastAsia" w:ascii="宋体" w:hAnsi="宋体" w:eastAsia="宋体" w:cs="宋体"/>
                <w:color w:val="auto"/>
                <w:lang w:val="en-US" w:eastAsia="zh-CN"/>
              </w:rPr>
              <w:t>50%</w:t>
            </w:r>
          </w:p>
        </w:tc>
        <w:tc>
          <w:tcPr>
            <w:tcW w:w="800" w:type="pct"/>
            <w:vAlign w:val="center"/>
          </w:tcPr>
          <w:p>
            <w:pPr>
              <w:bidi w:val="0"/>
              <w:jc w:val="center"/>
              <w:rPr>
                <w:rFonts w:hint="eastAsia" w:ascii="宋体" w:hAnsi="宋体" w:eastAsia="宋体" w:cs="宋体"/>
                <w:color w:val="auto"/>
              </w:rPr>
            </w:pPr>
          </w:p>
        </w:tc>
        <w:tc>
          <w:tcPr>
            <w:tcW w:w="914" w:type="pct"/>
            <w:vAlign w:val="center"/>
          </w:tcPr>
          <w:p>
            <w:pPr>
              <w:bidi w:val="0"/>
              <w:jc w:val="center"/>
              <w:rPr>
                <w:rFonts w:hint="eastAsia" w:ascii="宋体" w:hAnsi="宋体" w:eastAsia="宋体" w:cs="宋体"/>
                <w:color w:val="auto"/>
              </w:rPr>
            </w:pPr>
          </w:p>
        </w:tc>
      </w:tr>
    </w:tbl>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九、教学方式</w:t>
      </w:r>
    </w:p>
    <w:p>
      <w:pPr>
        <w:adjustRightInd w:val="0"/>
        <w:spacing w:line="560" w:lineRule="exact"/>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w:t>
      </w:r>
      <w:r>
        <w:rPr>
          <w:rFonts w:ascii="黑体" w:hAnsi="黑体" w:eastAsia="黑体"/>
          <w:b/>
          <w:color w:val="auto"/>
          <w:sz w:val="24"/>
          <w:szCs w:val="24"/>
        </w:rPr>
        <w:t>、</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宋体" w:hAnsi="宋体"/>
          <w:b/>
          <w:color w:val="auto"/>
          <w:sz w:val="24"/>
          <w:szCs w:val="24"/>
        </w:rPr>
      </w:pPr>
      <w:r>
        <w:rPr>
          <w:rFonts w:ascii="宋体" w:hAnsi="宋体"/>
          <w:b/>
          <w:color w:val="auto"/>
          <w:sz w:val="24"/>
          <w:szCs w:val="24"/>
        </w:rPr>
        <w:t>（</w:t>
      </w:r>
      <w:r>
        <w:rPr>
          <w:rFonts w:hint="eastAsia" w:ascii="宋体" w:hAnsi="宋体"/>
          <w:b/>
          <w:color w:val="auto"/>
          <w:sz w:val="24"/>
          <w:szCs w:val="24"/>
        </w:rPr>
        <w:t>一</w:t>
      </w:r>
      <w:r>
        <w:rPr>
          <w:rFonts w:ascii="宋体" w:hAnsi="宋体"/>
          <w:b/>
          <w:color w:val="auto"/>
          <w:sz w:val="24"/>
          <w:szCs w:val="24"/>
        </w:rPr>
        <w:t>）师资队伍</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1、队伍结构</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学生数与本专业专任教师数比例不高于23:1，双师素质教师占专业教师比例一般不低于60%，专任教师队伍要考虑职称、年龄，形成合理的梯队结构。</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2、专任教师</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3、专业带头人</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4、兼职教师</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Theme="minorEastAsia" w:hAnsiTheme="minorEastAsia"/>
          <w:b/>
          <w:color w:val="auto"/>
          <w:sz w:val="24"/>
          <w:szCs w:val="24"/>
        </w:rPr>
      </w:pPr>
      <w:r>
        <w:rPr>
          <w:rFonts w:hint="eastAsia" w:ascii="宋体" w:hAnsi="宋体"/>
          <w:color w:val="auto"/>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r>
        <w:rPr>
          <w:rFonts w:hint="eastAsia"/>
          <w:color w:val="auto"/>
          <w:sz w:val="24"/>
        </w:rPr>
        <w:t xml:space="preserve"> </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教学设施主要包括能够满足正常的课程教学、实习实训所需的专业教室、校内实训室和校外实训基地等。</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1,专业教室基本条件</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专业教室一般配备黑(白)板、多媒体计算机、投影设备、音响设备,互联网接入或Wi-Fi环境,并实施网络安全防护措施;安装应急照明装置并保持良好状态,符合紧急疏散要求,标志明显,保持逃生通道畅通无阻。</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2、校内实训室基本要求</w:t>
      </w:r>
    </w:p>
    <w:p>
      <w:pPr>
        <w:keepNext w:val="0"/>
        <w:keepLines w:val="0"/>
        <w:pageBreakBefore w:val="0"/>
        <w:widowControl/>
        <w:suppressLineNumbers w:val="0"/>
        <w:kinsoku/>
        <w:wordWrap/>
        <w:overflowPunct/>
        <w:topLinePunct w:val="0"/>
        <w:autoSpaceDE/>
        <w:autoSpaceDN/>
        <w:bidi w:val="0"/>
        <w:snapToGrid/>
        <w:spacing w:line="360" w:lineRule="auto"/>
        <w:ind w:left="279" w:leftChars="133"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(1)电工电子实训室。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电工电子实训室应配备电工电子实验台、万用表、示波器等仪器设备,按照4-5人台(套)配备,用于电工电子相关实验实训。</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(2)汽车拆装实训室。</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汽车拆装实训室应配备汽车及总成部件、拆装台架,专用拆装工具,汽车检测设备与仪器等,按照4-5人/台(套)配备,用于汽车及总成部件的拆装实训。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(3)发动机检测与维修实训室。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发动机检测与维修实训室应配备发动机实训台、万用表、示波器、专用拆装工具、测量器具、故障诊断仪等,按照4-5人台(套)配备,用于发动机检测与维修实训。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(4)汽车底盘检测与维修实训室。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底盘检测与维修实训室应配备传动系统实训台、悬架系统实训台、转向系统实训台、制动系统实训台、专用拆装工具、测量器具、故障诊断仪等,按照4-5人/台(套)配备,用于汽车底盘各系统或总成的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(5)汽车电气系统检测与维修实训室。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电气系统检测与维修实训室应配备发电机、起动机等电气系统总成部件,整车电气系统实训台、照明系统实训台、空调系统实训台、安全气囊实训台、娱乐系统实训合等,以及万用表、故障诊断仪等仪器设备,按照4-5人台(套)配备,用于汽车电气系统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(6)整车维修及综合故障诊断实训室。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汽车维护及综合故障诊断实训室应配备教学车辆、举升机、废气排放系统、拆装工具、诊断仪及专用工具等,拆装工具、诊断仪及专用工具等按照4-5 人台(套)配备,用于汽车维护及综合故障诊断实训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3,校外实训基地基本要求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校外实训基地基本要求为:具有稳定的校外实训基地;能够开展汽车质量与性能检测、汽车故障返修、汽车机电维修等实训活动,实训设施齐备,实训岗位、实训指导教师确定,实训管理及实施规章制度齐全。</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4、学生实习基地基本要求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学生实习基地基本要求为:具有稳定的校外实习基地;能提供汽车质量检测、汽车故障返修、汽车机电维修、服务顾问等相关实习岗位,能涵盖当前相关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5,支持信息化教学方面的基本要求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default" w:asciiTheme="minorEastAsia" w:hAnsiTheme="minorEastAsia"/>
          <w:b w:val="0"/>
          <w:bCs/>
          <w:color w:val="auto"/>
          <w:sz w:val="24"/>
          <w:szCs w:val="24"/>
          <w:lang w:val="en-US" w:eastAsia="zh-CN"/>
        </w:rPr>
      </w:pPr>
      <w:r>
        <w:rPr>
          <w:rFonts w:hint="eastAsia" w:ascii="宋体" w:hAnsi="宋体" w:eastAsia="宋体" w:cs="宋体"/>
          <w:color w:val="auto"/>
          <w:kern w:val="0"/>
          <w:sz w:val="24"/>
          <w:szCs w:val="24"/>
          <w:lang w:val="en-US" w:eastAsia="zh-CN" w:bidi="ar"/>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（三）教学资源</w:t>
      </w:r>
    </w:p>
    <w:p>
      <w:pPr>
        <w:keepNext w:val="0"/>
        <w:keepLines w:val="0"/>
        <w:pageBreakBefore w:val="0"/>
        <w:kinsoku/>
        <w:wordWrap/>
        <w:overflowPunct/>
        <w:topLinePunct w:val="0"/>
        <w:autoSpaceDE/>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教学资源主要包括能够满足学生专业学习、教师专业教学研究和教学实施所需的教材、图书文献及数字教学资源等。</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考核以形成性考核为主，可根据不同课程的特点和要求采取笔试、口试、答辩、实操、工作纪律等多种方式进行考核；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考核要以能力考核为核心，综合考核专业知识、专业技能、方法能力、职业素质、团队合作等方面；</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各课程应该根据课程的特点、要求，对采取不同方式、对各个方面的考核结果，通过一定的加权系数评定课程最终成绩。</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（六）质量管理</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黑体" w:hAnsi="黑体" w:eastAsia="黑体"/>
          <w:b/>
          <w:color w:val="auto"/>
          <w:sz w:val="24"/>
          <w:szCs w:val="24"/>
        </w:rPr>
      </w:pPr>
      <w:r>
        <w:rPr>
          <w:rFonts w:hint="eastAsia" w:ascii="宋体" w:hAnsi="宋体" w:eastAsia="宋体" w:cs="宋体"/>
          <w:color w:val="auto"/>
          <w:kern w:val="0"/>
          <w:sz w:val="24"/>
          <w:szCs w:val="24"/>
          <w:lang w:val="en-US" w:eastAsia="zh-CN" w:bidi="ar"/>
        </w:rPr>
        <w:t>1、</w:t>
      </w:r>
      <w:r>
        <w:rPr>
          <w:rFonts w:ascii="宋体" w:hAnsi="宋体" w:eastAsia="宋体" w:cs="宋体"/>
          <w:color w:val="auto"/>
          <w:kern w:val="0"/>
          <w:sz w:val="24"/>
          <w:szCs w:val="24"/>
          <w:lang w:val="en-US" w:eastAsia="zh-CN" w:bidi="ar"/>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Pr>
          <w:rFonts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2、</w:t>
      </w:r>
      <w:r>
        <w:rPr>
          <w:rFonts w:ascii="宋体" w:hAnsi="宋体" w:eastAsia="宋体" w:cs="宋体"/>
          <w:color w:val="auto"/>
          <w:kern w:val="0"/>
          <w:sz w:val="24"/>
          <w:szCs w:val="24"/>
          <w:lang w:val="en-US" w:eastAsia="zh-CN" w:bidi="ar"/>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芭课等教研活动。</w:t>
      </w:r>
      <w:r>
        <w:rPr>
          <w:rFonts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w:t>
      </w:r>
      <w:r>
        <w:rPr>
          <w:rFonts w:ascii="宋体" w:hAnsi="宋体" w:eastAsia="宋体" w:cs="宋体"/>
          <w:color w:val="auto"/>
          <w:kern w:val="0"/>
          <w:sz w:val="24"/>
          <w:szCs w:val="24"/>
          <w:lang w:val="en-US" w:eastAsia="zh-CN" w:bidi="ar"/>
        </w:rPr>
        <w:t>学校应建立毕业生跟踪反馈机制及社会评价机制,并对生源情况、在校生学业水平、毕业生就业情况等进行分析,定期评价人才培养质量和培养目标达成情况。</w:t>
      </w:r>
      <w:r>
        <w:rPr>
          <w:rFonts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w:t>
      </w:r>
      <w:r>
        <w:rPr>
          <w:rFonts w:ascii="宋体" w:hAnsi="宋体" w:eastAsia="宋体" w:cs="宋体"/>
          <w:color w:val="auto"/>
          <w:kern w:val="0"/>
          <w:sz w:val="24"/>
          <w:szCs w:val="24"/>
          <w:lang w:val="en-US" w:eastAsia="zh-CN" w:bidi="ar"/>
        </w:rPr>
        <w:t>专业教研组织应充分利用评价分析结果有效改进专业教学,持续提高人才培养质量。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十</w:t>
      </w:r>
      <w:r>
        <w:rPr>
          <w:rFonts w:hint="eastAsia" w:ascii="黑体" w:hAnsi="黑体" w:eastAsia="黑体"/>
          <w:b/>
          <w:color w:val="auto"/>
          <w:sz w:val="24"/>
          <w:szCs w:val="24"/>
          <w:lang w:eastAsia="zh-CN"/>
        </w:rPr>
        <w:t>一</w:t>
      </w:r>
      <w:r>
        <w:rPr>
          <w:rFonts w:hint="eastAsia" w:ascii="黑体" w:hAnsi="黑体" w:eastAsia="黑体"/>
          <w:b/>
          <w:color w:val="auto"/>
          <w:sz w:val="24"/>
          <w:szCs w:val="24"/>
        </w:rPr>
        <w:t>、</w:t>
      </w:r>
      <w:r>
        <w:rPr>
          <w:rFonts w:ascii="黑体" w:hAnsi="黑体" w:eastAsia="黑体"/>
          <w:b/>
          <w:color w:val="auto"/>
          <w:sz w:val="24"/>
          <w:szCs w:val="24"/>
        </w:rPr>
        <w:t>毕业要求</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按培养方案修完所有必修和选修课程并取得134学分。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学生取得的行业企业认可度高的有关职业资格证书以及已掌握扔关技术技能，获得相关专业竞赛等级奖，可按一定规则折算为学历教育相应学分。</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ascii="宋体" w:hAnsi="宋体" w:eastAsia="宋体" w:cs="宋体"/>
          <w:color w:val="auto"/>
          <w:kern w:val="0"/>
          <w:sz w:val="24"/>
          <w:szCs w:val="24"/>
          <w:lang w:val="en-US" w:eastAsia="zh-CN" w:bidi="ar"/>
        </w:rPr>
      </w:pP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方案制（修）定人：朱永宏、王俊、薛文平、吴结旺、刘家生</w:t>
      </w:r>
    </w:p>
    <w:p>
      <w:pPr>
        <w:spacing w:line="560" w:lineRule="exact"/>
        <w:ind w:firstLine="240" w:firstLineChars="100"/>
        <w:rPr>
          <w:rFonts w:ascii="宋体" w:hAnsi="宋体" w:eastAsia="宋体" w:cs="宋体"/>
          <w:b w:val="0"/>
          <w:bCs/>
          <w:color w:val="auto"/>
          <w:sz w:val="24"/>
          <w:szCs w:val="24"/>
        </w:rPr>
      </w:pPr>
      <w:r>
        <w:rPr>
          <w:rFonts w:hint="eastAsia" w:asciiTheme="minorEastAsia" w:hAnsiTheme="minorEastAsia"/>
          <w:b w:val="0"/>
          <w:bCs/>
          <w:color w:val="auto"/>
          <w:sz w:val="24"/>
          <w:szCs w:val="24"/>
          <w:shd w:val="clear" w:color="auto" w:fill="FFFFFF"/>
        </w:rPr>
        <w:t>本方案适用于</w:t>
      </w:r>
      <w:r>
        <w:rPr>
          <w:rFonts w:hint="eastAsia" w:asciiTheme="minorEastAsia" w:hAnsiTheme="minorEastAsia"/>
          <w:b w:val="0"/>
          <w:bCs/>
          <w:color w:val="auto"/>
          <w:sz w:val="24"/>
          <w:szCs w:val="24"/>
          <w:shd w:val="clear" w:color="auto" w:fill="FFFFFF"/>
          <w:lang w:eastAsia="zh-CN"/>
        </w:rPr>
        <w:t>汽车检测与维修技术</w:t>
      </w:r>
      <w:r>
        <w:rPr>
          <w:rFonts w:hint="eastAsia" w:asciiTheme="minorEastAsia" w:hAnsiTheme="minorEastAsia"/>
          <w:b w:val="0"/>
          <w:bCs/>
          <w:color w:val="auto"/>
          <w:sz w:val="24"/>
          <w:szCs w:val="24"/>
          <w:shd w:val="clear" w:color="auto" w:fill="FFFFFF"/>
        </w:rPr>
        <w:t>扩招专业非退役军人生源类型</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p>
    <w:p>
      <w:pPr>
        <w:widowControl/>
        <w:jc w:val="left"/>
        <w:rPr>
          <w:rFonts w:asciiTheme="minorEastAsia" w:hAnsiTheme="minorEastAsia"/>
          <w:b/>
          <w:color w:val="auto"/>
          <w:sz w:val="28"/>
          <w:szCs w:val="28"/>
          <w:shd w:val="clear" w:color="auto" w:fill="FFFFFF"/>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1D85A"/>
    <w:multiLevelType w:val="singleLevel"/>
    <w:tmpl w:val="BE81D85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7F8F"/>
    <w:rsid w:val="009A218C"/>
    <w:rsid w:val="009B00C8"/>
    <w:rsid w:val="009B6589"/>
    <w:rsid w:val="009F4424"/>
    <w:rsid w:val="00A13382"/>
    <w:rsid w:val="00A14A8B"/>
    <w:rsid w:val="00A25356"/>
    <w:rsid w:val="00A3707D"/>
    <w:rsid w:val="00AD050D"/>
    <w:rsid w:val="00AD72D5"/>
    <w:rsid w:val="00AD7C3B"/>
    <w:rsid w:val="00AE02FA"/>
    <w:rsid w:val="00AE2DA5"/>
    <w:rsid w:val="00AE35D7"/>
    <w:rsid w:val="00B027C6"/>
    <w:rsid w:val="00B11BA5"/>
    <w:rsid w:val="00B32641"/>
    <w:rsid w:val="00B7258B"/>
    <w:rsid w:val="00B86477"/>
    <w:rsid w:val="00B96FB6"/>
    <w:rsid w:val="00BA4647"/>
    <w:rsid w:val="00BB496C"/>
    <w:rsid w:val="00BB4A36"/>
    <w:rsid w:val="00BD5623"/>
    <w:rsid w:val="00BE68A6"/>
    <w:rsid w:val="00C06F1D"/>
    <w:rsid w:val="00C22B38"/>
    <w:rsid w:val="00C80C13"/>
    <w:rsid w:val="00C84C26"/>
    <w:rsid w:val="00CA5D90"/>
    <w:rsid w:val="00CB7D6C"/>
    <w:rsid w:val="00CC16D1"/>
    <w:rsid w:val="00CD3458"/>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D3450"/>
    <w:rsid w:val="00FF48F6"/>
    <w:rsid w:val="0113647C"/>
    <w:rsid w:val="01D951C6"/>
    <w:rsid w:val="024749A8"/>
    <w:rsid w:val="037F019C"/>
    <w:rsid w:val="058A0371"/>
    <w:rsid w:val="05F85802"/>
    <w:rsid w:val="0AA36620"/>
    <w:rsid w:val="0B2C4C93"/>
    <w:rsid w:val="0D285521"/>
    <w:rsid w:val="0DAD5350"/>
    <w:rsid w:val="0FE315C9"/>
    <w:rsid w:val="12372EA4"/>
    <w:rsid w:val="151C6F05"/>
    <w:rsid w:val="15A808E6"/>
    <w:rsid w:val="1628108E"/>
    <w:rsid w:val="163C59AA"/>
    <w:rsid w:val="17300A00"/>
    <w:rsid w:val="173D7424"/>
    <w:rsid w:val="17623144"/>
    <w:rsid w:val="17923E36"/>
    <w:rsid w:val="17F03008"/>
    <w:rsid w:val="1C217C17"/>
    <w:rsid w:val="1C342CE2"/>
    <w:rsid w:val="1FEA122C"/>
    <w:rsid w:val="2510350B"/>
    <w:rsid w:val="26651758"/>
    <w:rsid w:val="26C81C6A"/>
    <w:rsid w:val="28601FC9"/>
    <w:rsid w:val="29320386"/>
    <w:rsid w:val="293242FA"/>
    <w:rsid w:val="2A1E5A4F"/>
    <w:rsid w:val="2CEC3ADE"/>
    <w:rsid w:val="2DD54918"/>
    <w:rsid w:val="2F9B286B"/>
    <w:rsid w:val="2FD1521A"/>
    <w:rsid w:val="31E90B0E"/>
    <w:rsid w:val="320E64F8"/>
    <w:rsid w:val="32E523F2"/>
    <w:rsid w:val="332E3812"/>
    <w:rsid w:val="35860DA6"/>
    <w:rsid w:val="37926E7C"/>
    <w:rsid w:val="3E62012A"/>
    <w:rsid w:val="408337C5"/>
    <w:rsid w:val="43E43BFB"/>
    <w:rsid w:val="46E75CF6"/>
    <w:rsid w:val="474234BD"/>
    <w:rsid w:val="47C876E3"/>
    <w:rsid w:val="48AA3276"/>
    <w:rsid w:val="48FA268B"/>
    <w:rsid w:val="49680C4E"/>
    <w:rsid w:val="49D87451"/>
    <w:rsid w:val="4AAD3C40"/>
    <w:rsid w:val="4B1511F2"/>
    <w:rsid w:val="4BBB4BE2"/>
    <w:rsid w:val="4C290A31"/>
    <w:rsid w:val="4D0D6D4C"/>
    <w:rsid w:val="50B6239E"/>
    <w:rsid w:val="52A517DE"/>
    <w:rsid w:val="540F502B"/>
    <w:rsid w:val="54CB5E37"/>
    <w:rsid w:val="56083A92"/>
    <w:rsid w:val="56D747E2"/>
    <w:rsid w:val="57900FC7"/>
    <w:rsid w:val="58737F70"/>
    <w:rsid w:val="58F37DF9"/>
    <w:rsid w:val="5B48716F"/>
    <w:rsid w:val="5B921AE5"/>
    <w:rsid w:val="5BC9167A"/>
    <w:rsid w:val="5BF30B5D"/>
    <w:rsid w:val="5EEB1F29"/>
    <w:rsid w:val="61297143"/>
    <w:rsid w:val="62032331"/>
    <w:rsid w:val="630103ED"/>
    <w:rsid w:val="633C4371"/>
    <w:rsid w:val="66585B94"/>
    <w:rsid w:val="67747A62"/>
    <w:rsid w:val="6A594AA7"/>
    <w:rsid w:val="6B156498"/>
    <w:rsid w:val="6C5A6CAD"/>
    <w:rsid w:val="6C633EBD"/>
    <w:rsid w:val="6CFA57D7"/>
    <w:rsid w:val="6EB720E7"/>
    <w:rsid w:val="72E1287C"/>
    <w:rsid w:val="73F2798C"/>
    <w:rsid w:val="74B80E7D"/>
    <w:rsid w:val="76787605"/>
    <w:rsid w:val="7BB801F1"/>
    <w:rsid w:val="7C2B3497"/>
    <w:rsid w:val="7C4B558B"/>
    <w:rsid w:val="7E033903"/>
    <w:rsid w:val="7EC72347"/>
    <w:rsid w:val="7FA476BF"/>
    <w:rsid w:val="7FE5048B"/>
    <w:rsid w:val="7FF62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页眉 Char"/>
    <w:basedOn w:val="13"/>
    <w:link w:val="7"/>
    <w:qFormat/>
    <w:uiPriority w:val="99"/>
    <w:rPr>
      <w:sz w:val="18"/>
      <w:szCs w:val="18"/>
    </w:rPr>
  </w:style>
  <w:style w:type="character" w:customStyle="1" w:styleId="18">
    <w:name w:val="页脚 Char"/>
    <w:basedOn w:val="13"/>
    <w:link w:val="6"/>
    <w:qFormat/>
    <w:uiPriority w:val="0"/>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3"/>
    <w:link w:val="2"/>
    <w:qFormat/>
    <w:uiPriority w:val="9"/>
    <w:rPr>
      <w:b/>
      <w:bCs/>
      <w:kern w:val="44"/>
      <w:sz w:val="44"/>
      <w:szCs w:val="44"/>
    </w:rPr>
  </w:style>
  <w:style w:type="character" w:customStyle="1" w:styleId="21">
    <w:name w:val="标题 3 Char"/>
    <w:basedOn w:val="13"/>
    <w:link w:val="3"/>
    <w:qFormat/>
    <w:uiPriority w:val="0"/>
    <w:rPr>
      <w:rFonts w:ascii="Times New Roman" w:hAnsi="Times New Roman" w:eastAsia="宋体" w:cs="Times New Roman"/>
      <w:sz w:val="24"/>
      <w:szCs w:val="20"/>
    </w:rPr>
  </w:style>
  <w:style w:type="character" w:customStyle="1" w:styleId="22">
    <w:name w:val="批注文字 Char"/>
    <w:basedOn w:val="13"/>
    <w:link w:val="4"/>
    <w:qFormat/>
    <w:uiPriority w:val="99"/>
  </w:style>
  <w:style w:type="character" w:customStyle="1" w:styleId="23">
    <w:name w:val="批注主题 Char"/>
    <w:basedOn w:val="22"/>
    <w:link w:val="10"/>
    <w:semiHidden/>
    <w:qFormat/>
    <w:uiPriority w:val="99"/>
    <w:rPr>
      <w:b/>
      <w:bCs/>
    </w:rPr>
  </w:style>
  <w:style w:type="character" w:customStyle="1" w:styleId="24">
    <w:name w:val="批注框文本 Char"/>
    <w:basedOn w:val="13"/>
    <w:link w:val="5"/>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3"/>
    <w:qFormat/>
    <w:uiPriority w:val="0"/>
  </w:style>
  <w:style w:type="character" w:customStyle="1" w:styleId="27">
    <w:name w:val="标题 Char"/>
    <w:basedOn w:val="13"/>
    <w:link w:val="9"/>
    <w:qFormat/>
    <w:uiPriority w:val="0"/>
    <w:rPr>
      <w:rFonts w:ascii="Cambria" w:hAnsi="Cambria" w:eastAsia="宋体" w:cs="Times New Roman"/>
      <w:b/>
      <w:bCs/>
      <w:sz w:val="4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0</TotalTime>
  <ScaleCrop>false</ScaleCrop>
  <LinksUpToDate>false</LinksUpToDate>
  <CharactersWithSpaces>4248</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ID=chengqs</cp:lastModifiedBy>
  <dcterms:modified xsi:type="dcterms:W3CDTF">2020-02-14T03:41:21Z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