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安徽工业职业技术学院</w:t>
      </w:r>
    </w:p>
    <w:p>
      <w:pPr>
        <w:adjustRightInd w:val="0"/>
        <w:snapToGrid w:val="0"/>
        <w:jc w:val="center"/>
        <w:rPr>
          <w:rFonts w:asciiTheme="majorEastAsia" w:hAnsiTheme="majorEastAsia" w:eastAsiaTheme="majorEastAsia"/>
          <w:b/>
          <w:sz w:val="30"/>
          <w:szCs w:val="30"/>
        </w:rPr>
      </w:pPr>
      <w:r>
        <w:rPr>
          <w:rFonts w:asciiTheme="majorEastAsia" w:hAnsiTheme="majorEastAsia" w:eastAsiaTheme="majorEastAsia"/>
          <w:b/>
          <w:sz w:val="30"/>
          <w:szCs w:val="30"/>
        </w:rPr>
        <w:t>应用化工技术</w:t>
      </w:r>
      <w:r>
        <w:rPr>
          <w:rFonts w:hint="eastAsia" w:asciiTheme="majorEastAsia" w:hAnsiTheme="majorEastAsia" w:eastAsiaTheme="majorEastAsia"/>
          <w:b/>
          <w:sz w:val="30"/>
          <w:szCs w:val="30"/>
        </w:rPr>
        <w:t>扩招专业人才培养方案（2019版）</w:t>
      </w:r>
    </w:p>
    <w:p>
      <w:pPr>
        <w:spacing w:line="560" w:lineRule="exact"/>
        <w:ind w:firstLine="482" w:firstLineChars="200"/>
        <w:rPr>
          <w:rFonts w:ascii="黑体" w:hAnsi="黑体" w:eastAsia="黑体"/>
          <w:b/>
          <w:sz w:val="24"/>
          <w:szCs w:val="24"/>
        </w:rPr>
      </w:pPr>
      <w:r>
        <w:rPr>
          <w:rFonts w:ascii="黑体" w:hAnsi="黑体" w:eastAsia="黑体"/>
          <w:b/>
          <w:sz w:val="24"/>
          <w:szCs w:val="24"/>
        </w:rPr>
        <w:t>一、专业名称及代码</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专业名称：</w:t>
      </w:r>
      <w:r>
        <w:rPr>
          <w:rFonts w:asciiTheme="minorEastAsia" w:hAnsiTheme="minorEastAsia"/>
          <w:sz w:val="24"/>
          <w:szCs w:val="24"/>
        </w:rPr>
        <w:t>应用化工技术</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专业代码：</w:t>
      </w:r>
      <w:r>
        <w:rPr>
          <w:rFonts w:asciiTheme="minorEastAsia" w:hAnsiTheme="minorEastAsia"/>
          <w:sz w:val="24"/>
          <w:szCs w:val="24"/>
        </w:rPr>
        <w:t>570201</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spacing w:line="560" w:lineRule="exact"/>
        <w:ind w:firstLine="480" w:firstLineChars="200"/>
        <w:rPr>
          <w:rFonts w:asciiTheme="minorEastAsia" w:hAnsiTheme="minorEastAsia"/>
          <w:sz w:val="24"/>
          <w:szCs w:val="24"/>
        </w:rPr>
      </w:pPr>
      <w:r>
        <w:rPr>
          <w:rFonts w:asciiTheme="minorEastAsia" w:hAnsiTheme="minorEastAsia"/>
          <w:sz w:val="24"/>
          <w:szCs w:val="24"/>
        </w:rPr>
        <w:t>普通高级中学毕业或具备同等学力下岗职工、农民工和新型职业农民等群体</w:t>
      </w:r>
      <w:r>
        <w:rPr>
          <w:rFonts w:hint="eastAsia" w:asciiTheme="minorEastAsia" w:hAnsiTheme="minorEastAsia"/>
          <w:sz w:val="24"/>
          <w:szCs w:val="24"/>
        </w:rPr>
        <w:t>。</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spacing w:line="560" w:lineRule="exact"/>
        <w:ind w:firstLine="480" w:firstLineChars="200"/>
        <w:rPr>
          <w:rFonts w:asciiTheme="minorEastAsia" w:hAnsiTheme="minorEastAsia"/>
          <w:sz w:val="24"/>
          <w:szCs w:val="24"/>
        </w:rPr>
      </w:pPr>
      <w:r>
        <w:rPr>
          <w:rFonts w:asciiTheme="minorEastAsia" w:hAnsiTheme="minorEastAsia"/>
          <w:sz w:val="24"/>
          <w:szCs w:val="24"/>
        </w:rPr>
        <w:t>本</w:t>
      </w:r>
      <w:r>
        <w:rPr>
          <w:rFonts w:hint="eastAsia" w:asciiTheme="minorEastAsia" w:hAnsiTheme="minorEastAsia"/>
          <w:sz w:val="24"/>
          <w:szCs w:val="24"/>
        </w:rPr>
        <w:t>专业学制3 年，可实施弹性学习，最长不超过6年。</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（一）服务面向</w:t>
      </w:r>
    </w:p>
    <w:tbl>
      <w:tblPr>
        <w:tblStyle w:val="11"/>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2"/>
        <w:gridCol w:w="1134"/>
        <w:gridCol w:w="1447"/>
        <w:gridCol w:w="2580"/>
        <w:gridCol w:w="1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sz w:val="24"/>
              </w:rPr>
            </w:pPr>
            <w:r>
              <w:rPr>
                <w:rFonts w:hint="eastAsia"/>
                <w:sz w:val="24"/>
              </w:rPr>
              <w:t>所属</w:t>
            </w:r>
          </w:p>
          <w:p>
            <w:pPr>
              <w:jc w:val="center"/>
              <w:rPr>
                <w:sz w:val="24"/>
              </w:rPr>
            </w:pPr>
            <w:r>
              <w:rPr>
                <w:rFonts w:hint="eastAsia"/>
                <w:sz w:val="24"/>
              </w:rPr>
              <w:t>专业大类</w:t>
            </w:r>
          </w:p>
        </w:tc>
        <w:tc>
          <w:tcPr>
            <w:tcW w:w="1134" w:type="dxa"/>
            <w:vAlign w:val="center"/>
          </w:tcPr>
          <w:p>
            <w:pPr>
              <w:jc w:val="center"/>
              <w:rPr>
                <w:sz w:val="24"/>
              </w:rPr>
            </w:pPr>
            <w:r>
              <w:rPr>
                <w:rFonts w:hint="eastAsia"/>
                <w:sz w:val="24"/>
              </w:rPr>
              <w:t>所属</w:t>
            </w:r>
          </w:p>
          <w:p>
            <w:pPr>
              <w:jc w:val="center"/>
              <w:rPr>
                <w:sz w:val="24"/>
              </w:rPr>
            </w:pPr>
            <w:r>
              <w:rPr>
                <w:rFonts w:hint="eastAsia"/>
                <w:sz w:val="24"/>
              </w:rPr>
              <w:t>专业类</w:t>
            </w:r>
          </w:p>
        </w:tc>
        <w:tc>
          <w:tcPr>
            <w:tcW w:w="1447" w:type="dxa"/>
            <w:vAlign w:val="center"/>
          </w:tcPr>
          <w:p>
            <w:pPr>
              <w:jc w:val="center"/>
              <w:rPr>
                <w:sz w:val="24"/>
              </w:rPr>
            </w:pPr>
            <w:r>
              <w:rPr>
                <w:rFonts w:hint="eastAsia"/>
                <w:sz w:val="24"/>
              </w:rPr>
              <w:t>对应</w:t>
            </w:r>
          </w:p>
          <w:p>
            <w:pPr>
              <w:jc w:val="center"/>
              <w:rPr>
                <w:sz w:val="24"/>
              </w:rPr>
            </w:pPr>
            <w:r>
              <w:rPr>
                <w:rFonts w:hint="eastAsia"/>
                <w:sz w:val="24"/>
              </w:rPr>
              <w:t>行业</w:t>
            </w:r>
          </w:p>
        </w:tc>
        <w:tc>
          <w:tcPr>
            <w:tcW w:w="2580" w:type="dxa"/>
            <w:vAlign w:val="center"/>
          </w:tcPr>
          <w:p>
            <w:pPr>
              <w:jc w:val="center"/>
              <w:rPr>
                <w:sz w:val="24"/>
              </w:rPr>
            </w:pPr>
            <w:r>
              <w:rPr>
                <w:rFonts w:hint="eastAsia"/>
                <w:sz w:val="24"/>
              </w:rPr>
              <w:t>主要职业类别</w:t>
            </w:r>
          </w:p>
        </w:tc>
        <w:tc>
          <w:tcPr>
            <w:tcW w:w="1956" w:type="dxa"/>
            <w:vAlign w:val="center"/>
          </w:tcPr>
          <w:p>
            <w:pPr>
              <w:jc w:val="center"/>
              <w:rPr>
                <w:sz w:val="24"/>
              </w:rPr>
            </w:pPr>
            <w:r>
              <w:rPr>
                <w:rFonts w:hint="eastAsia"/>
                <w:sz w:val="24"/>
              </w:rPr>
              <w:t>主要岗位类别</w:t>
            </w:r>
          </w:p>
          <w:p>
            <w:pPr>
              <w:jc w:val="center"/>
              <w:rPr>
                <w:sz w:val="24"/>
              </w:rPr>
            </w:pPr>
            <w:r>
              <w:rPr>
                <w:rFonts w:hint="eastAsia"/>
                <w:sz w:val="24"/>
              </w:rPr>
              <w:t>（或技术领域）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4" w:hRule="exact"/>
        </w:trPr>
        <w:tc>
          <w:tcPr>
            <w:tcW w:w="1242" w:type="dxa"/>
            <w:vAlign w:val="center"/>
          </w:tcPr>
          <w:p>
            <w:pPr>
              <w:spacing w:line="520" w:lineRule="exact"/>
              <w:jc w:val="center"/>
              <w:rPr>
                <w:rFonts w:cs="Tahoma"/>
                <w:bCs/>
                <w:kern w:val="0"/>
                <w:szCs w:val="21"/>
              </w:rPr>
            </w:pPr>
            <w:r>
              <w:t>生物与化工大类 （57）</w:t>
            </w:r>
          </w:p>
        </w:tc>
        <w:tc>
          <w:tcPr>
            <w:tcW w:w="1134" w:type="dxa"/>
            <w:vAlign w:val="center"/>
          </w:tcPr>
          <w:p>
            <w:pPr>
              <w:spacing w:line="520" w:lineRule="exact"/>
              <w:jc w:val="center"/>
              <w:rPr>
                <w:rFonts w:cs="Tahoma"/>
                <w:bCs/>
                <w:kern w:val="0"/>
                <w:szCs w:val="21"/>
              </w:rPr>
            </w:pPr>
            <w:r>
              <w:t>化工技术 类（5702）</w:t>
            </w:r>
          </w:p>
        </w:tc>
        <w:tc>
          <w:tcPr>
            <w:tcW w:w="1447" w:type="dxa"/>
            <w:vAlign w:val="center"/>
          </w:tcPr>
          <w:p>
            <w:pPr>
              <w:spacing w:line="520" w:lineRule="exact"/>
              <w:jc w:val="center"/>
            </w:pPr>
            <w:r>
              <w:t xml:space="preserve">化学原料及化学制品制造业 </w:t>
            </w:r>
          </w:p>
          <w:p>
            <w:pPr>
              <w:spacing w:line="520" w:lineRule="exact"/>
              <w:jc w:val="center"/>
              <w:rPr>
                <w:rFonts w:cs="Tahoma"/>
                <w:bCs/>
                <w:kern w:val="0"/>
                <w:szCs w:val="21"/>
              </w:rPr>
            </w:pPr>
            <w:r>
              <w:t>（26）</w:t>
            </w:r>
          </w:p>
        </w:tc>
        <w:tc>
          <w:tcPr>
            <w:tcW w:w="2580" w:type="dxa"/>
            <w:vAlign w:val="center"/>
          </w:tcPr>
          <w:p>
            <w:pPr>
              <w:jc w:val="center"/>
            </w:pPr>
            <w:r>
              <w:t>化工生产工程技术人员 （2-02-06-03）</w:t>
            </w:r>
          </w:p>
          <w:p>
            <w:pPr>
              <w:jc w:val="center"/>
            </w:pPr>
            <w:r>
              <w:t>化工产品生产通用工艺人 员 （6-11-01）</w:t>
            </w:r>
          </w:p>
          <w:p>
            <w:pPr>
              <w:jc w:val="center"/>
            </w:pPr>
            <w:r>
              <w:t>基础化学原料制造人员 （6-11-02）</w:t>
            </w:r>
          </w:p>
          <w:p>
            <w:pPr>
              <w:jc w:val="center"/>
            </w:pPr>
            <w:r>
              <w:t>检验、检测和计量服务人员（4-08-05</w:t>
            </w:r>
            <w:r>
              <w:rPr>
                <w:b/>
              </w:rPr>
              <w:t>）</w:t>
            </w:r>
          </w:p>
          <w:p>
            <w:pPr>
              <w:jc w:val="center"/>
              <w:rPr>
                <w:rFonts w:cs="Tahoma"/>
                <w:bCs/>
                <w:kern w:val="0"/>
                <w:szCs w:val="21"/>
              </w:rPr>
            </w:pPr>
          </w:p>
        </w:tc>
        <w:tc>
          <w:tcPr>
            <w:tcW w:w="1956" w:type="dxa"/>
            <w:vAlign w:val="center"/>
          </w:tcPr>
          <w:p>
            <w:pPr>
              <w:spacing w:line="520" w:lineRule="exact"/>
            </w:pPr>
            <w:r>
              <w:t>化工工艺管理</w:t>
            </w:r>
          </w:p>
          <w:p>
            <w:pPr>
              <w:spacing w:line="520" w:lineRule="exact"/>
            </w:pPr>
            <w:r>
              <w:t>化工生产现场操作</w:t>
            </w:r>
          </w:p>
          <w:p>
            <w:pPr>
              <w:spacing w:line="520" w:lineRule="exact"/>
            </w:pPr>
            <w:r>
              <w:t>化工生产中控操作</w:t>
            </w:r>
          </w:p>
          <w:p>
            <w:pPr>
              <w:spacing w:line="520" w:lineRule="exact"/>
              <w:rPr>
                <w:rFonts w:cs="Tahoma"/>
                <w:bCs/>
                <w:kern w:val="0"/>
                <w:szCs w:val="21"/>
              </w:rPr>
            </w:pPr>
            <w:r>
              <w:rPr>
                <w:rFonts w:hint="eastAsia" w:cs="Tahoma"/>
                <w:bCs/>
                <w:kern w:val="0"/>
                <w:szCs w:val="21"/>
              </w:rPr>
              <w:t>分析检测</w:t>
            </w:r>
          </w:p>
          <w:p>
            <w:pPr>
              <w:spacing w:line="520" w:lineRule="exact"/>
              <w:rPr>
                <w:rFonts w:cs="Tahoma"/>
                <w:bCs/>
                <w:kern w:val="0"/>
                <w:szCs w:val="21"/>
              </w:rPr>
            </w:pPr>
          </w:p>
        </w:tc>
      </w:tr>
    </w:tbl>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（一）培养目标</w:t>
      </w:r>
    </w:p>
    <w:p>
      <w:pPr>
        <w:spacing w:line="360" w:lineRule="auto"/>
        <w:ind w:firstLine="480" w:firstLineChars="200"/>
        <w:jc w:val="left"/>
        <w:rPr>
          <w:rFonts w:asciiTheme="minorEastAsia" w:hAnsiTheme="minorEastAsia"/>
          <w:sz w:val="24"/>
          <w:szCs w:val="24"/>
        </w:rPr>
      </w:pPr>
      <w:r>
        <w:rPr>
          <w:rFonts w:asciiTheme="minorEastAsia" w:hAnsiTheme="minorEastAsia"/>
          <w:sz w:val="24"/>
          <w:szCs w:val="24"/>
        </w:rPr>
        <w:t>本专业培养理想信念坚定，德、智、体、美、劳全面发展，具有一定的科学文化水平，良好的人文素养、职业道德和创新意识，精益求精的工匠精神，较强的就业能力和可持续发展的能力；掌握应用化工的专业知识和技术技能，面向化学原料及化学制品制造行业的化工生产工程技术人员、</w:t>
      </w:r>
      <w:r>
        <w:rPr>
          <w:sz w:val="24"/>
          <w:szCs w:val="24"/>
        </w:rPr>
        <w:t>化工产品生产通用工艺人员</w:t>
      </w:r>
      <w:r>
        <w:rPr>
          <w:rFonts w:asciiTheme="minorEastAsia" w:hAnsiTheme="minorEastAsia"/>
          <w:sz w:val="24"/>
          <w:szCs w:val="24"/>
        </w:rPr>
        <w:t>、</w:t>
      </w:r>
      <w:r>
        <w:rPr>
          <w:sz w:val="24"/>
          <w:szCs w:val="24"/>
        </w:rPr>
        <w:t>基础化学原料制造人员</w:t>
      </w:r>
      <w:r>
        <w:rPr>
          <w:rFonts w:asciiTheme="minorEastAsia" w:hAnsiTheme="minorEastAsia"/>
          <w:sz w:val="24"/>
          <w:szCs w:val="24"/>
        </w:rPr>
        <w:t>、</w:t>
      </w:r>
      <w:r>
        <w:rPr>
          <w:sz w:val="24"/>
          <w:szCs w:val="24"/>
        </w:rPr>
        <w:t>检验、检测和计量服务人员、环境监测服务人员，能够从事化工工艺管理、化工生产现场操作、</w:t>
      </w:r>
      <w:r>
        <w:rPr>
          <w:rFonts w:asciiTheme="minorEastAsia" w:hAnsiTheme="minorEastAsia"/>
          <w:sz w:val="24"/>
          <w:szCs w:val="24"/>
        </w:rPr>
        <w:t>化工生产中控操作、分析检测、环境监测等工作的高素质技术技能人才。</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（二）培养规格</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1．素质</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具有良好的身心素质和人文素养。达到《国家学生体质健康标准》要求，具有健康的体魄和心理、健全的人格；具有一定的审美和人文素养。</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2．知识</w:t>
      </w:r>
    </w:p>
    <w:p>
      <w:pPr>
        <w:pStyle w:val="27"/>
        <w:numPr>
          <w:ilvl w:val="0"/>
          <w:numId w:val="1"/>
        </w:numPr>
        <w:tabs>
          <w:tab w:val="left" w:pos="1134"/>
        </w:tabs>
        <w:spacing w:line="560" w:lineRule="exact"/>
        <w:ind w:hanging="131" w:firstLineChars="0"/>
        <w:rPr>
          <w:sz w:val="24"/>
          <w:szCs w:val="24"/>
        </w:rPr>
      </w:pPr>
      <w:r>
        <w:rPr>
          <w:sz w:val="24"/>
          <w:szCs w:val="24"/>
        </w:rPr>
        <w:t>掌握必备的思想政治理论、科学文化基础知识和中华优秀传统文化知识；</w:t>
      </w:r>
    </w:p>
    <w:p>
      <w:pPr>
        <w:pStyle w:val="27"/>
        <w:numPr>
          <w:ilvl w:val="0"/>
          <w:numId w:val="1"/>
        </w:numPr>
        <w:tabs>
          <w:tab w:val="left" w:pos="1134"/>
        </w:tabs>
        <w:spacing w:line="560" w:lineRule="exact"/>
        <w:ind w:hanging="131" w:firstLineChars="0"/>
        <w:rPr>
          <w:sz w:val="24"/>
          <w:szCs w:val="24"/>
        </w:rPr>
      </w:pPr>
      <w:r>
        <w:rPr>
          <w:sz w:val="24"/>
          <w:szCs w:val="24"/>
        </w:rPr>
        <w:t>熟悉与本专业相关的法律法规以及环境保护、安全消防、文明生产等相关知识；</w:t>
      </w:r>
    </w:p>
    <w:p>
      <w:pPr>
        <w:pStyle w:val="27"/>
        <w:numPr>
          <w:ilvl w:val="0"/>
          <w:numId w:val="1"/>
        </w:numPr>
        <w:tabs>
          <w:tab w:val="left" w:pos="1134"/>
        </w:tabs>
        <w:spacing w:line="560" w:lineRule="exact"/>
        <w:ind w:hanging="131" w:firstLineChars="0"/>
        <w:rPr>
          <w:sz w:val="24"/>
          <w:szCs w:val="24"/>
        </w:rPr>
      </w:pPr>
      <w:r>
        <w:rPr>
          <w:sz w:val="24"/>
          <w:szCs w:val="24"/>
        </w:rPr>
        <w:t xml:space="preserve">掌握与专业相关的基础化学、识图与制图等基础知识； </w:t>
      </w:r>
    </w:p>
    <w:p>
      <w:pPr>
        <w:pStyle w:val="27"/>
        <w:numPr>
          <w:ilvl w:val="0"/>
          <w:numId w:val="1"/>
        </w:numPr>
        <w:tabs>
          <w:tab w:val="left" w:pos="1134"/>
        </w:tabs>
        <w:spacing w:line="560" w:lineRule="exact"/>
        <w:ind w:left="1134" w:hanging="425" w:firstLineChars="0"/>
        <w:rPr>
          <w:sz w:val="24"/>
          <w:szCs w:val="24"/>
        </w:rPr>
      </w:pPr>
      <w:r>
        <w:rPr>
          <w:sz w:val="24"/>
          <w:szCs w:val="24"/>
        </w:rPr>
        <w:t>掌握与专业相关的化工单元操作、化学反应过程及设备、典型化工生产工艺运行的基本知识；</w:t>
      </w:r>
    </w:p>
    <w:p>
      <w:pPr>
        <w:pStyle w:val="27"/>
        <w:numPr>
          <w:ilvl w:val="0"/>
          <w:numId w:val="1"/>
        </w:numPr>
        <w:tabs>
          <w:tab w:val="left" w:pos="1134"/>
        </w:tabs>
        <w:spacing w:line="560" w:lineRule="exact"/>
        <w:ind w:hanging="131" w:firstLineChars="0"/>
        <w:rPr>
          <w:sz w:val="24"/>
          <w:szCs w:val="24"/>
        </w:rPr>
      </w:pPr>
      <w:r>
        <w:rPr>
          <w:sz w:val="24"/>
          <w:szCs w:val="24"/>
        </w:rPr>
        <w:t>掌握分析方法的基本原理及样品测定的基本理论；</w:t>
      </w:r>
    </w:p>
    <w:p>
      <w:pPr>
        <w:pStyle w:val="27"/>
        <w:numPr>
          <w:ilvl w:val="0"/>
          <w:numId w:val="1"/>
        </w:numPr>
        <w:tabs>
          <w:tab w:val="left" w:pos="1134"/>
        </w:tabs>
        <w:spacing w:line="560" w:lineRule="exact"/>
        <w:ind w:hanging="131" w:firstLineChars="0"/>
        <w:rPr>
          <w:sz w:val="24"/>
          <w:szCs w:val="24"/>
        </w:rPr>
      </w:pPr>
      <w:r>
        <w:rPr>
          <w:sz w:val="24"/>
          <w:szCs w:val="24"/>
        </w:rPr>
        <w:t>掌握常见现代分析仪器的基本知识；</w:t>
      </w:r>
    </w:p>
    <w:p>
      <w:pPr>
        <w:pStyle w:val="27"/>
        <w:numPr>
          <w:ilvl w:val="0"/>
          <w:numId w:val="1"/>
        </w:numPr>
        <w:tabs>
          <w:tab w:val="left" w:pos="1134"/>
        </w:tabs>
        <w:spacing w:line="560" w:lineRule="exact"/>
        <w:ind w:hanging="131" w:firstLineChars="0"/>
        <w:rPr>
          <w:sz w:val="24"/>
          <w:szCs w:val="24"/>
        </w:rPr>
      </w:pPr>
      <w:r>
        <w:rPr>
          <w:sz w:val="24"/>
          <w:szCs w:val="24"/>
        </w:rPr>
        <w:t>掌握化工安全技术、化工 HSE与清洁生产等知识；</w:t>
      </w:r>
    </w:p>
    <w:p>
      <w:pPr>
        <w:pStyle w:val="27"/>
        <w:numPr>
          <w:ilvl w:val="0"/>
          <w:numId w:val="1"/>
        </w:numPr>
        <w:tabs>
          <w:tab w:val="left" w:pos="1134"/>
        </w:tabs>
        <w:spacing w:line="560" w:lineRule="exact"/>
        <w:ind w:hanging="131" w:firstLineChars="0"/>
        <w:rPr>
          <w:sz w:val="24"/>
          <w:szCs w:val="24"/>
        </w:rPr>
      </w:pPr>
      <w:r>
        <w:rPr>
          <w:sz w:val="24"/>
          <w:szCs w:val="24"/>
        </w:rPr>
        <w:t>了解仪器结构，熟悉仪器结构、使用和维护知识；</w:t>
      </w:r>
    </w:p>
    <w:p>
      <w:pPr>
        <w:pStyle w:val="27"/>
        <w:numPr>
          <w:ilvl w:val="0"/>
          <w:numId w:val="1"/>
        </w:numPr>
        <w:tabs>
          <w:tab w:val="left" w:pos="1134"/>
        </w:tabs>
        <w:spacing w:line="560" w:lineRule="exact"/>
        <w:ind w:hanging="131" w:firstLineChars="0"/>
        <w:rPr>
          <w:sz w:val="24"/>
          <w:szCs w:val="24"/>
        </w:rPr>
      </w:pPr>
      <w:r>
        <w:rPr>
          <w:sz w:val="24"/>
          <w:szCs w:val="24"/>
        </w:rPr>
        <w:t xml:space="preserve">了解化工生产仪表及自动化控制等相关知识； </w:t>
      </w:r>
    </w:p>
    <w:p>
      <w:pPr>
        <w:pStyle w:val="27"/>
        <w:numPr>
          <w:ilvl w:val="0"/>
          <w:numId w:val="1"/>
        </w:numPr>
        <w:tabs>
          <w:tab w:val="left" w:pos="1134"/>
        </w:tabs>
        <w:spacing w:line="560" w:lineRule="exact"/>
        <w:ind w:hanging="131" w:firstLineChars="0"/>
        <w:rPr>
          <w:sz w:val="24"/>
          <w:szCs w:val="24"/>
        </w:rPr>
      </w:pPr>
      <w:r>
        <w:rPr>
          <w:sz w:val="24"/>
          <w:szCs w:val="24"/>
        </w:rPr>
        <w:t xml:space="preserve">了解化工企业管理和市场营销知识； </w:t>
      </w:r>
    </w:p>
    <w:p>
      <w:pPr>
        <w:pStyle w:val="27"/>
        <w:numPr>
          <w:ilvl w:val="0"/>
          <w:numId w:val="1"/>
        </w:numPr>
        <w:tabs>
          <w:tab w:val="left" w:pos="1134"/>
        </w:tabs>
        <w:spacing w:line="560" w:lineRule="exact"/>
        <w:ind w:hanging="131" w:firstLineChars="0"/>
        <w:rPr>
          <w:sz w:val="24"/>
          <w:szCs w:val="24"/>
        </w:rPr>
      </w:pPr>
      <w:r>
        <w:rPr>
          <w:sz w:val="24"/>
          <w:szCs w:val="24"/>
        </w:rPr>
        <w:t>了解现代化工生产技术的前沿理论、最新成果及发展动态。</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3．能力</w:t>
      </w:r>
    </w:p>
    <w:p>
      <w:pPr>
        <w:pStyle w:val="27"/>
        <w:numPr>
          <w:ilvl w:val="0"/>
          <w:numId w:val="2"/>
        </w:numPr>
        <w:spacing w:line="560" w:lineRule="exact"/>
        <w:ind w:hanging="49" w:firstLineChars="0"/>
        <w:rPr>
          <w:sz w:val="24"/>
          <w:szCs w:val="24"/>
        </w:rPr>
      </w:pPr>
      <w:r>
        <w:rPr>
          <w:sz w:val="24"/>
          <w:szCs w:val="24"/>
        </w:rPr>
        <w:t>具有探究学习、终身学习、分析问题和解决问题的能力；</w:t>
      </w:r>
    </w:p>
    <w:p>
      <w:pPr>
        <w:pStyle w:val="27"/>
        <w:numPr>
          <w:ilvl w:val="0"/>
          <w:numId w:val="2"/>
        </w:numPr>
        <w:spacing w:line="560" w:lineRule="exact"/>
        <w:ind w:hanging="49" w:firstLineChars="0"/>
        <w:rPr>
          <w:sz w:val="24"/>
          <w:szCs w:val="24"/>
        </w:rPr>
      </w:pPr>
      <w:r>
        <w:rPr>
          <w:sz w:val="24"/>
          <w:szCs w:val="24"/>
        </w:rPr>
        <w:t xml:space="preserve">具有良好的语言、文字表达能力和沟通能力； </w:t>
      </w:r>
    </w:p>
    <w:p>
      <w:pPr>
        <w:pStyle w:val="27"/>
        <w:numPr>
          <w:ilvl w:val="0"/>
          <w:numId w:val="2"/>
        </w:numPr>
        <w:spacing w:line="560" w:lineRule="exact"/>
        <w:ind w:hanging="49" w:firstLineChars="0"/>
        <w:rPr>
          <w:sz w:val="24"/>
          <w:szCs w:val="24"/>
        </w:rPr>
      </w:pPr>
      <w:r>
        <w:rPr>
          <w:sz w:val="24"/>
          <w:szCs w:val="24"/>
        </w:rPr>
        <w:t>能够识读带控制点的工艺流程图等技术图纸；</w:t>
      </w:r>
    </w:p>
    <w:p>
      <w:pPr>
        <w:pStyle w:val="27"/>
        <w:numPr>
          <w:ilvl w:val="0"/>
          <w:numId w:val="2"/>
        </w:numPr>
        <w:spacing w:line="560" w:lineRule="exact"/>
        <w:ind w:left="1134" w:hanging="283" w:firstLineChars="0"/>
        <w:rPr>
          <w:sz w:val="24"/>
          <w:szCs w:val="24"/>
        </w:rPr>
      </w:pPr>
      <w:r>
        <w:rPr>
          <w:sz w:val="24"/>
          <w:szCs w:val="24"/>
        </w:rPr>
        <w:t xml:space="preserve">能够查验典型化工岗位设备、电气、仪表运行情况，对化工常用的生产设备、电气和仪表进行简单维护保养； </w:t>
      </w:r>
    </w:p>
    <w:p>
      <w:pPr>
        <w:pStyle w:val="27"/>
        <w:numPr>
          <w:ilvl w:val="0"/>
          <w:numId w:val="2"/>
        </w:numPr>
        <w:spacing w:line="560" w:lineRule="exact"/>
        <w:ind w:hanging="49" w:firstLineChars="0"/>
        <w:rPr>
          <w:sz w:val="24"/>
          <w:szCs w:val="24"/>
        </w:rPr>
      </w:pPr>
      <w:r>
        <w:rPr>
          <w:sz w:val="24"/>
          <w:szCs w:val="24"/>
        </w:rPr>
        <w:t>能够按操作规程进行试车、开车、停车、置换等操作，记录并保存生产数据；</w:t>
      </w:r>
    </w:p>
    <w:p>
      <w:pPr>
        <w:pStyle w:val="27"/>
        <w:numPr>
          <w:ilvl w:val="0"/>
          <w:numId w:val="2"/>
        </w:numPr>
        <w:spacing w:line="560" w:lineRule="exact"/>
        <w:ind w:left="1134" w:hanging="283" w:firstLineChars="0"/>
        <w:rPr>
          <w:sz w:val="24"/>
          <w:szCs w:val="24"/>
        </w:rPr>
      </w:pPr>
      <w:r>
        <w:rPr>
          <w:sz w:val="24"/>
          <w:szCs w:val="24"/>
        </w:rPr>
        <w:t>具有仪表或自控系统的操作能力，实施对生产岗位全部工艺参数的跟踪监控和调节；并能根据中控分析结果和质量要求调节岗位操作；</w:t>
      </w:r>
    </w:p>
    <w:p>
      <w:pPr>
        <w:pStyle w:val="27"/>
        <w:numPr>
          <w:ilvl w:val="0"/>
          <w:numId w:val="2"/>
        </w:numPr>
        <w:spacing w:line="560" w:lineRule="exact"/>
        <w:ind w:hanging="49" w:firstLineChars="0"/>
        <w:rPr>
          <w:sz w:val="24"/>
          <w:szCs w:val="24"/>
        </w:rPr>
      </w:pPr>
      <w:r>
        <w:rPr>
          <w:sz w:val="24"/>
          <w:szCs w:val="24"/>
        </w:rPr>
        <w:t>能够分析、判断和处理不正常生产工况；</w:t>
      </w:r>
    </w:p>
    <w:p>
      <w:pPr>
        <w:pStyle w:val="27"/>
        <w:numPr>
          <w:ilvl w:val="0"/>
          <w:numId w:val="2"/>
        </w:numPr>
        <w:spacing w:line="560" w:lineRule="exact"/>
        <w:ind w:hanging="49" w:firstLineChars="0"/>
        <w:rPr>
          <w:rFonts w:asciiTheme="minorEastAsia" w:hAnsiTheme="minorEastAsia"/>
          <w:sz w:val="24"/>
          <w:szCs w:val="24"/>
        </w:rPr>
      </w:pPr>
      <w:r>
        <w:rPr>
          <w:sz w:val="24"/>
          <w:szCs w:val="24"/>
        </w:rPr>
        <w:t>能使用常规仪器工具对产品、“三废”进行分析检测。</w:t>
      </w:r>
    </w:p>
    <w:p>
      <w:pPr>
        <w:adjustRightInd w:val="0"/>
        <w:spacing w:line="560" w:lineRule="exact"/>
        <w:ind w:firstLine="424" w:firstLineChars="176"/>
        <w:rPr>
          <w:rFonts w:ascii="黑体" w:hAnsi="黑体" w:eastAsia="黑体"/>
          <w:b/>
          <w:sz w:val="24"/>
          <w:szCs w:val="24"/>
        </w:rPr>
      </w:pPr>
      <w:r>
        <w:rPr>
          <w:rFonts w:hint="eastAsia" w:ascii="黑体" w:hAnsi="黑体" w:eastAsia="黑体"/>
          <w:b/>
          <w:sz w:val="24"/>
          <w:szCs w:val="24"/>
        </w:rPr>
        <w:t>六</w:t>
      </w:r>
      <w:r>
        <w:rPr>
          <w:rFonts w:ascii="黑体" w:hAnsi="黑体" w:eastAsia="黑体"/>
          <w:b/>
          <w:sz w:val="24"/>
          <w:szCs w:val="24"/>
        </w:rPr>
        <w:t>、课程设置</w:t>
      </w:r>
    </w:p>
    <w:p>
      <w:pPr>
        <w:widowControl/>
        <w:spacing w:line="360" w:lineRule="auto"/>
        <w:ind w:firstLine="849" w:firstLineChars="354"/>
        <w:jc w:val="left"/>
        <w:rPr>
          <w:rFonts w:ascii="宋体" w:hAnsi="宋体" w:eastAsia="宋体" w:cs="宋体"/>
          <w:bCs/>
          <w:kern w:val="0"/>
          <w:sz w:val="24"/>
          <w:szCs w:val="24"/>
        </w:rPr>
      </w:pPr>
      <w:r>
        <w:rPr>
          <w:rFonts w:hint="eastAsia" w:ascii="宋体" w:hAnsi="宋体" w:eastAsia="宋体" w:cs="宋体"/>
          <w:bCs/>
          <w:kern w:val="0"/>
          <w:sz w:val="24"/>
          <w:szCs w:val="24"/>
        </w:rPr>
        <w:t>主要包括公共基础课程、专业（技能）课程。</w:t>
      </w:r>
    </w:p>
    <w:p>
      <w:pPr>
        <w:spacing w:line="360" w:lineRule="auto"/>
        <w:ind w:firstLine="424" w:firstLineChars="176"/>
        <w:rPr>
          <w:rFonts w:asciiTheme="minorEastAsia" w:hAnsiTheme="minorEastAsia"/>
          <w:b/>
          <w:sz w:val="24"/>
          <w:szCs w:val="24"/>
        </w:rPr>
      </w:pPr>
      <w:r>
        <w:rPr>
          <w:rFonts w:hint="eastAsia" w:asciiTheme="minorEastAsia" w:hAnsiTheme="minorEastAsia"/>
          <w:b/>
          <w:sz w:val="24"/>
          <w:szCs w:val="24"/>
        </w:rPr>
        <w:t>（一）</w:t>
      </w:r>
      <w:r>
        <w:rPr>
          <w:rFonts w:hint="eastAsia" w:asciiTheme="minorEastAsia" w:hAnsiTheme="minorEastAsia"/>
          <w:b/>
          <w:bCs/>
          <w:sz w:val="24"/>
          <w:szCs w:val="24"/>
        </w:rPr>
        <w:t>公共基础课程</w:t>
      </w:r>
    </w:p>
    <w:p>
      <w:pPr>
        <w:pStyle w:val="27"/>
        <w:numPr>
          <w:ilvl w:val="0"/>
          <w:numId w:val="3"/>
        </w:numPr>
        <w:spacing w:line="360" w:lineRule="auto"/>
        <w:ind w:firstLineChars="0"/>
        <w:rPr>
          <w:b/>
          <w:sz w:val="24"/>
          <w:szCs w:val="24"/>
        </w:rPr>
      </w:pPr>
      <w:r>
        <w:rPr>
          <w:rFonts w:hint="eastAsia"/>
          <w:b/>
          <w:sz w:val="24"/>
          <w:szCs w:val="24"/>
        </w:rPr>
        <w:t>高职应用数学</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cs="宋体"/>
          <w:sz w:val="24"/>
        </w:rPr>
      </w:pPr>
      <w:r>
        <w:rPr>
          <w:rFonts w:hint="eastAsia" w:ascii="宋体" w:hAnsi="宋体"/>
          <w:sz w:val="24"/>
        </w:rPr>
        <w:t>通过对本课程的学习，使学生掌握数学基础知识，特别是基本的数学思想方法和必要的应用技能。知识方面达到</w:t>
      </w:r>
      <w:r>
        <w:rPr>
          <w:rFonts w:hint="eastAsia" w:ascii="宋体" w:hAnsi="宋体" w:cs="宋体"/>
          <w:sz w:val="24"/>
        </w:rPr>
        <w:t>掌握数学的基本概念、基本运算和基本方法，学生能应用所学的数学知识分析并解决生活和工程实际中的问题，为学习专业课程提供必要的数学工具。</w:t>
      </w:r>
      <w:r>
        <w:rPr>
          <w:rFonts w:hint="eastAsia" w:ascii="宋体" w:hAnsi="宋体"/>
          <w:sz w:val="24"/>
        </w:rPr>
        <w:t>能力方面达到</w:t>
      </w:r>
      <w:r>
        <w:rPr>
          <w:rFonts w:hint="eastAsia" w:ascii="宋体" w:hAnsi="宋体" w:cs="宋体"/>
          <w:sz w:val="24"/>
        </w:rPr>
        <w:t>通过各个教学环节，培养学生观察思考、抽象概括问题的能力、一定的逻辑推理能力、运算能力，提高学生运用数学知识分析和解决问题的能力。</w:t>
      </w:r>
      <w:r>
        <w:rPr>
          <w:rFonts w:hint="eastAsia" w:ascii="宋体" w:hAnsi="宋体"/>
          <w:sz w:val="24"/>
        </w:rPr>
        <w:t>素质方面达到</w:t>
      </w:r>
      <w:r>
        <w:rPr>
          <w:rFonts w:hint="eastAsia" w:ascii="宋体" w:hAnsi="宋体" w:cs="宋体"/>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360" w:lineRule="auto"/>
        <w:ind w:firstLine="424" w:firstLineChars="176"/>
        <w:rPr>
          <w:rFonts w:ascii="宋体" w:hAnsi="宋体"/>
          <w:b/>
          <w:sz w:val="24"/>
        </w:rPr>
      </w:pPr>
      <w:r>
        <w:rPr>
          <w:rFonts w:ascii="宋体" w:hAnsi="宋体"/>
          <w:b/>
          <w:sz w:val="24"/>
        </w:rPr>
        <w:t>主要内容</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spacing w:line="360" w:lineRule="auto"/>
        <w:ind w:firstLine="424" w:firstLineChars="176"/>
        <w:rPr>
          <w:rFonts w:ascii="宋体" w:hAnsi="宋体"/>
          <w:b/>
          <w:sz w:val="24"/>
        </w:rPr>
      </w:pPr>
      <w:r>
        <w:rPr>
          <w:rFonts w:ascii="宋体" w:hAnsi="宋体"/>
          <w:b/>
          <w:sz w:val="24"/>
        </w:rPr>
        <w:t>教学要求</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通过本课程的学习，指导学生完成教学任务，主要要求为：要求理解数的概念，会解基本一元、二元方程和一些简单不等式。理解函数的概念，掌握基本初等函数和初等函数的内容。了解函数极限的概念，会求简单的极限。理解导数的概念，掌握基本初等函数的求导公式和导数的计算及基本应用。了解不定积分和定积分的定义，掌握基本积分的计算，了解定积分在几何上的一些基本应用。掌握矩阵知识和线性方程组的解法。了解统计初步和概率的基本知识，要求理解统计的样本空间概念，会求均值、中位数、极差、众数和方差。理解随机事件的概念，掌握基本事件的关系和运算，理解概率的定义，了解条件概率与事件独立的定义，掌握全概率公式的应用。</w:t>
      </w:r>
    </w:p>
    <w:p>
      <w:pPr>
        <w:pStyle w:val="27"/>
        <w:numPr>
          <w:ilvl w:val="0"/>
          <w:numId w:val="3"/>
        </w:numPr>
        <w:spacing w:line="360" w:lineRule="auto"/>
        <w:ind w:firstLineChars="0"/>
        <w:rPr>
          <w:b/>
          <w:sz w:val="24"/>
          <w:szCs w:val="24"/>
        </w:rPr>
      </w:pPr>
      <w:r>
        <w:rPr>
          <w:rFonts w:hint="eastAsia"/>
          <w:b/>
          <w:sz w:val="24"/>
          <w:szCs w:val="24"/>
        </w:rPr>
        <w:t>高职实用英语</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本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pPr>
        <w:spacing w:line="360" w:lineRule="auto"/>
        <w:ind w:firstLine="424" w:firstLineChars="176"/>
        <w:rPr>
          <w:rFonts w:ascii="宋体" w:hAnsi="宋体"/>
          <w:b/>
          <w:sz w:val="24"/>
        </w:rPr>
      </w:pPr>
      <w:r>
        <w:rPr>
          <w:rFonts w:ascii="宋体" w:hAnsi="宋体"/>
          <w:b/>
          <w:sz w:val="24"/>
        </w:rPr>
        <w:t>主要内容</w:t>
      </w:r>
      <w:r>
        <w:rPr>
          <w:rFonts w:hint="eastAsia" w:ascii="宋体" w:hAnsi="宋体"/>
          <w:b/>
          <w:sz w:val="24"/>
        </w:rPr>
        <w:t>：</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spacing w:line="360" w:lineRule="auto"/>
        <w:ind w:firstLine="424" w:firstLineChars="176"/>
        <w:rPr>
          <w:rFonts w:ascii="宋体" w:hAnsi="宋体"/>
          <w:b/>
          <w:sz w:val="24"/>
        </w:rPr>
      </w:pPr>
      <w:r>
        <w:rPr>
          <w:rFonts w:ascii="宋体" w:hAnsi="宋体"/>
          <w:b/>
          <w:sz w:val="24"/>
        </w:rPr>
        <w:t>教学要求</w:t>
      </w:r>
      <w:r>
        <w:rPr>
          <w:rFonts w:hint="eastAsia" w:ascii="宋体" w:hAnsi="宋体"/>
          <w:b/>
          <w:sz w:val="24"/>
        </w:rPr>
        <w:t>：</w:t>
      </w:r>
    </w:p>
    <w:p>
      <w:pPr>
        <w:spacing w:line="360" w:lineRule="auto"/>
        <w:ind w:firstLine="480" w:firstLineChars="200"/>
        <w:rPr>
          <w:rFonts w:ascii="宋体" w:hAnsi="宋体" w:cs="宋体"/>
          <w:kern w:val="0"/>
          <w:sz w:val="24"/>
        </w:rPr>
      </w:pPr>
      <w:r>
        <w:rPr>
          <w:rFonts w:hint="eastAsia" w:ascii="宋体" w:hAnsi="宋体" w:cs="宋体"/>
          <w:kern w:val="0"/>
          <w:sz w:val="24"/>
        </w:rPr>
        <w:t>通过本课程的学习，学生应该达到下列要求：词汇：认知2500个英语单词以及由这些词构成的常用词组，对其中1000 个左右的单词能正确拼写、英汉互译。语法：掌握基本的英语语法规则，在听、说、读、写、译中能正确运用所学语法知识。听力：能听懂涉及日常交际的结构简单、发音清楚、语速较慢的英语简短对话和陈述，理解基本正确。口语：掌握一般的课堂用语，并能在日常涉外活动中进行简单的交流。阅读：能阅读中等难度的一般题材的简短英文资料，理解正确。在阅读生词不超过总词数3%的英文资料时，阅读速度不低于每分钟50词。能读懂通用的简短实用文字材料，如信函、产品说明等，理解基本正确。写作：能运用所学词汇和语法写出简单的短文；能用英语填写表格、套写便函、简历等，词句基本正确，无重大语法错误，格式基本恰当，表达清楚。翻译（英译汉）：能借助词典将中等偏下难度的一般题材的文字材料译成汉语。理解正确，译文达意。</w:t>
      </w:r>
    </w:p>
    <w:p>
      <w:pPr>
        <w:pStyle w:val="27"/>
        <w:numPr>
          <w:ilvl w:val="0"/>
          <w:numId w:val="3"/>
        </w:numPr>
        <w:spacing w:line="360" w:lineRule="auto"/>
        <w:ind w:firstLineChars="0"/>
        <w:rPr>
          <w:b/>
          <w:sz w:val="24"/>
          <w:szCs w:val="24"/>
        </w:rPr>
      </w:pPr>
      <w:r>
        <w:rPr>
          <w:rFonts w:hint="eastAsia"/>
          <w:b/>
          <w:sz w:val="24"/>
          <w:szCs w:val="24"/>
        </w:rPr>
        <w:t>思想道德修养与法律基础</w:t>
      </w:r>
    </w:p>
    <w:p>
      <w:pPr>
        <w:spacing w:line="360" w:lineRule="auto"/>
        <w:ind w:firstLine="424" w:firstLineChars="176"/>
        <w:rPr>
          <w:rFonts w:ascii="宋体" w:hAnsi="宋体"/>
          <w:b/>
          <w:sz w:val="24"/>
        </w:rPr>
      </w:pPr>
      <w:r>
        <w:rPr>
          <w:rFonts w:ascii="宋体" w:hAnsi="宋体"/>
          <w:b/>
          <w:sz w:val="24"/>
        </w:rPr>
        <w:t>课程目标：</w:t>
      </w:r>
    </w:p>
    <w:p>
      <w:pPr>
        <w:spacing w:line="360" w:lineRule="auto"/>
        <w:ind w:firstLine="480" w:firstLineChars="200"/>
        <w:rPr>
          <w:rFonts w:ascii="宋体" w:hAnsi="宋体"/>
          <w:sz w:val="24"/>
        </w:rPr>
      </w:pPr>
      <w:r>
        <w:rPr>
          <w:rFonts w:hint="eastAsia" w:ascii="宋体" w:hAnsi="宋体"/>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360" w:lineRule="auto"/>
        <w:ind w:firstLine="424" w:firstLineChars="176"/>
        <w:rPr>
          <w:rFonts w:ascii="宋体" w:hAnsi="宋体"/>
          <w:b/>
          <w:sz w:val="24"/>
        </w:rPr>
      </w:pPr>
      <w:r>
        <w:rPr>
          <w:rFonts w:ascii="宋体" w:hAnsi="宋体"/>
          <w:b/>
          <w:sz w:val="24"/>
        </w:rPr>
        <w:t>主要内容：</w:t>
      </w:r>
    </w:p>
    <w:p>
      <w:pPr>
        <w:spacing w:line="360" w:lineRule="auto"/>
        <w:ind w:firstLine="480" w:firstLineChars="200"/>
        <w:rPr>
          <w:rFonts w:ascii="宋体" w:hAnsi="宋体"/>
          <w:sz w:val="24"/>
        </w:rPr>
      </w:pPr>
      <w:r>
        <w:rPr>
          <w:rFonts w:hint="eastAsia" w:ascii="宋体" w:hAnsi="宋体"/>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360" w:lineRule="auto"/>
        <w:ind w:firstLine="424" w:firstLineChars="176"/>
        <w:rPr>
          <w:rFonts w:ascii="宋体" w:hAnsi="宋体"/>
          <w:b/>
          <w:sz w:val="24"/>
        </w:rPr>
      </w:pPr>
      <w:r>
        <w:rPr>
          <w:rFonts w:ascii="宋体" w:hAnsi="宋体"/>
          <w:b/>
          <w:sz w:val="24"/>
        </w:rPr>
        <w:t>教学要求：</w:t>
      </w:r>
    </w:p>
    <w:p>
      <w:pPr>
        <w:spacing w:line="360" w:lineRule="auto"/>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pStyle w:val="27"/>
        <w:numPr>
          <w:ilvl w:val="0"/>
          <w:numId w:val="3"/>
        </w:numPr>
        <w:spacing w:line="360" w:lineRule="auto"/>
        <w:ind w:firstLineChars="0"/>
        <w:rPr>
          <w:b/>
          <w:sz w:val="24"/>
          <w:szCs w:val="24"/>
        </w:rPr>
      </w:pPr>
      <w:r>
        <w:rPr>
          <w:rFonts w:hint="eastAsia"/>
          <w:b/>
          <w:sz w:val="24"/>
          <w:szCs w:val="24"/>
        </w:rPr>
        <w:t>毛泽东思想和中国特色社会主义理论体系概论</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ascii="宋体" w:hAnsi="宋体"/>
          <w:sz w:val="24"/>
        </w:rPr>
      </w:pPr>
      <w:r>
        <w:rPr>
          <w:rFonts w:hint="eastAsia" w:ascii="宋体" w:hAnsi="宋体"/>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570"/>
        <w:rPr>
          <w:rFonts w:ascii="宋体" w:hAnsi="宋体"/>
          <w:sz w:val="24"/>
        </w:rPr>
      </w:pPr>
      <w:r>
        <w:rPr>
          <w:rFonts w:hint="eastAsia" w:ascii="宋体" w:hAnsi="宋体"/>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sz w:val="24"/>
        </w:rPr>
      </w:pPr>
      <w:r>
        <w:rPr>
          <w:rFonts w:hint="eastAsia" w:ascii="宋体" w:hAnsi="宋体"/>
          <w:sz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hint="eastAsia" w:ascii="宋体" w:hAnsi="宋体" w:cs="宋体"/>
          <w:kern w:val="0"/>
          <w:sz w:val="24"/>
        </w:rPr>
        <w:t>教学过程中</w:t>
      </w:r>
      <w:r>
        <w:rPr>
          <w:rFonts w:hint="eastAsia" w:ascii="宋体" w:hAnsi="宋体"/>
          <w:sz w:val="24"/>
        </w:rPr>
        <w:t>坚持以</w:t>
      </w:r>
      <w:r>
        <w:rPr>
          <w:rFonts w:hint="eastAsia" w:ascii="宋体" w:hAnsi="宋体" w:cs="宋体"/>
          <w:kern w:val="0"/>
          <w:sz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sz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pStyle w:val="27"/>
        <w:numPr>
          <w:ilvl w:val="0"/>
          <w:numId w:val="3"/>
        </w:numPr>
        <w:spacing w:line="360" w:lineRule="auto"/>
        <w:ind w:firstLineChars="0"/>
        <w:rPr>
          <w:b/>
          <w:sz w:val="24"/>
          <w:szCs w:val="24"/>
        </w:rPr>
      </w:pPr>
      <w:r>
        <w:rPr>
          <w:rFonts w:hint="eastAsia"/>
          <w:b/>
          <w:sz w:val="24"/>
          <w:szCs w:val="24"/>
        </w:rPr>
        <w:t>大学生心理健康教育</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ascii="宋体" w:hAnsi="宋体"/>
          <w:sz w:val="24"/>
        </w:rPr>
      </w:pPr>
      <w:r>
        <w:rPr>
          <w:rFonts w:hint="eastAsia" w:ascii="宋体" w:hAnsi="宋体"/>
          <w:sz w:val="24"/>
        </w:rPr>
        <w:t>坚持立德树人的根本任务，</w:t>
      </w:r>
      <w:r>
        <w:rPr>
          <w:rFonts w:ascii="宋体" w:hAnsi="宋体"/>
          <w:sz w:val="24"/>
        </w:rPr>
        <w:t>坚持育心与育德相统一</w:t>
      </w:r>
      <w:r>
        <w:rPr>
          <w:rFonts w:hint="eastAsia" w:ascii="宋体" w:hAnsi="宋体"/>
          <w:sz w:val="24"/>
        </w:rPr>
        <w:t>。通过课程教学，使社会扩招大学生了解心理健康基本知识，掌握正确应对学习生活中不良情绪和心理压力必需的相关技能，提高心理适应能力，努力培育自尊自信、理性平和、积极向上的社会心态。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rFonts w:ascii="宋体" w:hAnsi="宋体"/>
          <w:sz w:val="24"/>
        </w:rPr>
      </w:pPr>
      <w:r>
        <w:rPr>
          <w:rFonts w:hint="eastAsia" w:ascii="宋体" w:hAnsi="宋体"/>
          <w:sz w:val="24"/>
        </w:rPr>
        <w:t>本课程围绕</w:t>
      </w:r>
      <w:r>
        <w:rPr>
          <w:rFonts w:ascii="宋体" w:hAnsi="宋体"/>
          <w:sz w:val="24"/>
        </w:rPr>
        <w:t>了解心理健康的基础知识</w:t>
      </w:r>
      <w:r>
        <w:rPr>
          <w:rFonts w:hint="eastAsia" w:ascii="宋体" w:hAnsi="宋体"/>
          <w:sz w:val="24"/>
        </w:rPr>
        <w:t>、</w:t>
      </w:r>
      <w:r>
        <w:rPr>
          <w:rFonts w:ascii="宋体" w:hAnsi="宋体"/>
          <w:sz w:val="24"/>
        </w:rPr>
        <w:t>了解自我</w:t>
      </w:r>
      <w:r>
        <w:rPr>
          <w:rFonts w:hint="eastAsia" w:ascii="宋体" w:hAnsi="宋体"/>
          <w:sz w:val="24"/>
        </w:rPr>
        <w:t>与</w:t>
      </w:r>
      <w:r>
        <w:rPr>
          <w:rFonts w:ascii="宋体" w:hAnsi="宋体"/>
          <w:sz w:val="24"/>
        </w:rPr>
        <w:t>发展自我</w:t>
      </w:r>
      <w:r>
        <w:rPr>
          <w:rFonts w:hint="eastAsia" w:ascii="宋体" w:hAnsi="宋体"/>
          <w:sz w:val="24"/>
        </w:rPr>
        <w:t>、</w:t>
      </w:r>
      <w:r>
        <w:rPr>
          <w:rFonts w:ascii="宋体" w:hAnsi="宋体"/>
          <w:sz w:val="24"/>
        </w:rPr>
        <w:t>提高自我心理调适能力</w:t>
      </w:r>
      <w:r>
        <w:rPr>
          <w:rFonts w:hint="eastAsia" w:ascii="宋体" w:hAnsi="宋体"/>
          <w:sz w:val="24"/>
        </w:rPr>
        <w:t>等三大部分，通过</w:t>
      </w:r>
      <w:r>
        <w:rPr>
          <w:rFonts w:ascii="宋体" w:hAnsi="宋体"/>
          <w:sz w:val="24"/>
        </w:rPr>
        <w:t>大学生心理健康导论</w:t>
      </w:r>
      <w:r>
        <w:rPr>
          <w:rFonts w:hint="eastAsia" w:ascii="宋体" w:hAnsi="宋体"/>
          <w:sz w:val="24"/>
        </w:rPr>
        <w:t>、</w:t>
      </w:r>
      <w:r>
        <w:rPr>
          <w:rFonts w:ascii="宋体" w:hAnsi="宋体"/>
          <w:sz w:val="24"/>
        </w:rPr>
        <w:t>自我意识与培养</w:t>
      </w:r>
      <w:r>
        <w:rPr>
          <w:rFonts w:hint="eastAsia" w:ascii="宋体" w:hAnsi="宋体"/>
          <w:sz w:val="24"/>
        </w:rPr>
        <w:t>、</w:t>
      </w:r>
      <w:r>
        <w:rPr>
          <w:rFonts w:ascii="宋体" w:hAnsi="宋体"/>
          <w:sz w:val="24"/>
        </w:rPr>
        <w:t>人格发展与心理健康</w:t>
      </w:r>
      <w:r>
        <w:rPr>
          <w:rFonts w:hint="eastAsia" w:ascii="宋体" w:hAnsi="宋体"/>
          <w:sz w:val="24"/>
        </w:rPr>
        <w:t>、</w:t>
      </w:r>
      <w:r>
        <w:rPr>
          <w:rFonts w:ascii="宋体" w:hAnsi="宋体"/>
          <w:sz w:val="24"/>
        </w:rPr>
        <w:t>学习心理</w:t>
      </w:r>
      <w:r>
        <w:rPr>
          <w:rFonts w:hint="eastAsia" w:ascii="宋体" w:hAnsi="宋体"/>
          <w:sz w:val="24"/>
        </w:rPr>
        <w:t>、</w:t>
      </w:r>
      <w:r>
        <w:rPr>
          <w:rFonts w:ascii="宋体" w:hAnsi="宋体"/>
          <w:sz w:val="24"/>
        </w:rPr>
        <w:t>情绪管理</w:t>
      </w:r>
      <w:r>
        <w:rPr>
          <w:rFonts w:hint="eastAsia" w:ascii="宋体" w:hAnsi="宋体"/>
          <w:sz w:val="24"/>
        </w:rPr>
        <w:t>、</w:t>
      </w:r>
      <w:r>
        <w:rPr>
          <w:rFonts w:ascii="宋体" w:hAnsi="宋体"/>
          <w:sz w:val="24"/>
        </w:rPr>
        <w:t>人际交往</w:t>
      </w:r>
      <w:r>
        <w:rPr>
          <w:rFonts w:hint="eastAsia" w:ascii="宋体" w:hAnsi="宋体"/>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sz w:val="24"/>
        </w:rPr>
      </w:pPr>
      <w:r>
        <w:rPr>
          <w:rFonts w:hint="eastAsia" w:ascii="宋体" w:hAnsi="宋体"/>
          <w:sz w:val="24"/>
        </w:rPr>
        <w:t>本</w:t>
      </w:r>
      <w:r>
        <w:rPr>
          <w:rFonts w:ascii="宋体" w:hAnsi="宋体"/>
          <w:sz w:val="24"/>
        </w:rPr>
        <w:t>课程是集知识、体验和训练为一体的综合课程</w:t>
      </w:r>
      <w:r>
        <w:rPr>
          <w:rFonts w:hint="eastAsia" w:ascii="宋体" w:hAnsi="宋体"/>
          <w:sz w:val="24"/>
        </w:rPr>
        <w:t>，</w:t>
      </w:r>
      <w:r>
        <w:rPr>
          <w:rFonts w:ascii="宋体" w:hAnsi="宋体"/>
          <w:sz w:val="24"/>
        </w:rPr>
        <w:t>课程</w:t>
      </w:r>
      <w:r>
        <w:rPr>
          <w:rFonts w:hint="eastAsia" w:ascii="宋体" w:hAnsi="宋体"/>
          <w:sz w:val="24"/>
        </w:rPr>
        <w:t>教学中</w:t>
      </w:r>
      <w:r>
        <w:rPr>
          <w:rFonts w:ascii="宋体" w:hAnsi="宋体"/>
          <w:sz w:val="24"/>
        </w:rPr>
        <w:t>要注重理论联系实际，注重培养学生实际应用能力</w:t>
      </w:r>
      <w:r>
        <w:rPr>
          <w:rFonts w:hint="eastAsia" w:ascii="宋体" w:hAnsi="宋体"/>
          <w:sz w:val="24"/>
        </w:rPr>
        <w:t>；</w:t>
      </w:r>
      <w:r>
        <w:rPr>
          <w:rFonts w:ascii="宋体" w:hAnsi="宋体"/>
          <w:sz w:val="24"/>
        </w:rPr>
        <w:t>要充分发挥师生在教学中的主动性和创造性，充分调动学生参与的积极性，避免单向的理论灌输和知识传授。在教学过程中，要充分运用各种资源丰富教学手段</w:t>
      </w:r>
      <w:r>
        <w:rPr>
          <w:rFonts w:hint="eastAsia" w:ascii="宋体" w:hAnsi="宋体"/>
          <w:sz w:val="24"/>
        </w:rPr>
        <w:t>，积极应用“互联网 +”平台和手段，提升教学效果。</w:t>
      </w:r>
    </w:p>
    <w:p>
      <w:pPr>
        <w:pStyle w:val="27"/>
        <w:numPr>
          <w:ilvl w:val="0"/>
          <w:numId w:val="3"/>
        </w:numPr>
        <w:spacing w:line="360" w:lineRule="auto"/>
        <w:ind w:firstLineChars="0"/>
        <w:rPr>
          <w:b/>
          <w:sz w:val="24"/>
          <w:szCs w:val="24"/>
        </w:rPr>
      </w:pPr>
      <w:r>
        <w:rPr>
          <w:rFonts w:hint="eastAsia"/>
          <w:b/>
          <w:sz w:val="24"/>
          <w:szCs w:val="24"/>
        </w:rPr>
        <w:t>实用应用文写作</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spacing w:line="360" w:lineRule="auto"/>
        <w:ind w:firstLine="424" w:firstLineChars="176"/>
        <w:rPr>
          <w:rFonts w:ascii="宋体" w:hAnsi="宋体"/>
          <w:b/>
          <w:sz w:val="24"/>
        </w:rPr>
      </w:pPr>
      <w:r>
        <w:rPr>
          <w:rFonts w:ascii="宋体" w:hAnsi="宋体"/>
          <w:b/>
          <w:sz w:val="24"/>
        </w:rPr>
        <w:t>主要内容</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spacing w:line="360" w:lineRule="auto"/>
        <w:ind w:firstLine="424" w:firstLineChars="176"/>
        <w:rPr>
          <w:rFonts w:ascii="宋体" w:hAnsi="宋体"/>
          <w:b/>
          <w:sz w:val="24"/>
        </w:rPr>
      </w:pPr>
      <w:r>
        <w:rPr>
          <w:rFonts w:ascii="宋体" w:hAnsi="宋体"/>
          <w:b/>
          <w:sz w:val="24"/>
        </w:rPr>
        <w:t>教学要求</w:t>
      </w:r>
    </w:p>
    <w:p>
      <w:pPr>
        <w:spacing w:line="360" w:lineRule="auto"/>
        <w:ind w:firstLine="480" w:firstLineChars="200"/>
        <w:rPr>
          <w:sz w:val="24"/>
        </w:rPr>
      </w:pPr>
      <w:r>
        <w:rPr>
          <w:rFonts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pStyle w:val="27"/>
        <w:numPr>
          <w:ilvl w:val="0"/>
          <w:numId w:val="3"/>
        </w:numPr>
        <w:spacing w:line="360" w:lineRule="auto"/>
        <w:ind w:firstLineChars="0"/>
        <w:rPr>
          <w:b/>
          <w:sz w:val="24"/>
          <w:szCs w:val="24"/>
        </w:rPr>
      </w:pPr>
      <w:r>
        <w:rPr>
          <w:rFonts w:hint="eastAsia"/>
          <w:b/>
          <w:sz w:val="24"/>
          <w:szCs w:val="24"/>
        </w:rPr>
        <w:t>沟通与交流</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424" w:firstLineChars="176"/>
        <w:rPr>
          <w:rFonts w:ascii="宋体" w:hAnsi="宋体"/>
          <w:b/>
          <w:sz w:val="24"/>
        </w:rPr>
      </w:pPr>
      <w:r>
        <w:rPr>
          <w:rFonts w:hint="eastAsia" w:ascii="宋体" w:hAnsi="宋体"/>
          <w:b/>
          <w:sz w:val="24"/>
        </w:rPr>
        <w:t xml:space="preserve">主要内容： </w:t>
      </w:r>
    </w:p>
    <w:p>
      <w:pPr>
        <w:widowControl/>
        <w:spacing w:line="360" w:lineRule="auto"/>
        <w:ind w:firstLine="480" w:firstLineChars="200"/>
        <w:jc w:val="left"/>
        <w:rPr>
          <w:rFonts w:ascii="宋体" w:hAnsi="宋体" w:cs="宋体"/>
          <w:sz w:val="24"/>
        </w:rPr>
      </w:pPr>
      <w:r>
        <w:rPr>
          <w:rFonts w:hint="eastAsia" w:ascii="宋体" w:hAnsi="宋体" w:cs="宋体"/>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cs="宋体"/>
          <w:sz w:val="24"/>
        </w:rPr>
      </w:pPr>
      <w:r>
        <w:rPr>
          <w:rFonts w:hint="eastAsia" w:ascii="宋体" w:hAnsi="宋体" w:cs="宋体"/>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pStyle w:val="27"/>
        <w:numPr>
          <w:ilvl w:val="0"/>
          <w:numId w:val="3"/>
        </w:numPr>
        <w:spacing w:line="360" w:lineRule="auto"/>
        <w:ind w:firstLineChars="0"/>
        <w:rPr>
          <w:b/>
          <w:sz w:val="24"/>
          <w:szCs w:val="24"/>
        </w:rPr>
      </w:pPr>
      <w:r>
        <w:rPr>
          <w:rFonts w:hint="eastAsia"/>
          <w:b/>
          <w:sz w:val="24"/>
          <w:szCs w:val="24"/>
        </w:rPr>
        <w:t>形势与政策</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b/>
          <w:sz w:val="24"/>
        </w:rPr>
      </w:pPr>
      <w:r>
        <w:rPr>
          <w:rFonts w:hint="eastAsia" w:ascii="宋体" w:hAnsi="宋体" w:cs="宋体"/>
          <w:sz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spacing w:line="360" w:lineRule="auto"/>
        <w:ind w:firstLine="424" w:firstLineChars="176"/>
        <w:rPr>
          <w:rFonts w:ascii="宋体" w:hAnsi="宋体"/>
          <w:b/>
          <w:sz w:val="24"/>
        </w:rPr>
      </w:pPr>
      <w:r>
        <w:rPr>
          <w:rFonts w:hint="eastAsia" w:ascii="宋体" w:hAnsi="宋体"/>
          <w:b/>
          <w:sz w:val="24"/>
        </w:rPr>
        <w:t>教学内容：</w:t>
      </w:r>
    </w:p>
    <w:p>
      <w:pPr>
        <w:spacing w:line="360" w:lineRule="auto"/>
        <w:ind w:firstLine="480" w:firstLineChars="200"/>
        <w:rPr>
          <w:rFonts w:ascii="宋体" w:hAnsi="宋体" w:cs="宋体"/>
          <w:sz w:val="24"/>
        </w:rPr>
      </w:pPr>
      <w:r>
        <w:rPr>
          <w:rFonts w:hint="eastAsia" w:ascii="宋体" w:hAnsi="宋体" w:cs="宋体"/>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spacing w:line="360" w:lineRule="auto"/>
        <w:ind w:firstLine="424" w:firstLineChars="176"/>
        <w:rPr>
          <w:rFonts w:ascii="宋体" w:hAnsi="宋体"/>
          <w:b/>
          <w:sz w:val="24"/>
        </w:rPr>
      </w:pPr>
      <w:r>
        <w:rPr>
          <w:rFonts w:hint="eastAsia"/>
          <w:b/>
          <w:sz w:val="24"/>
        </w:rPr>
        <w:t>教学要求：</w:t>
      </w:r>
    </w:p>
    <w:p>
      <w:pPr>
        <w:spacing w:line="360" w:lineRule="auto"/>
        <w:ind w:firstLine="480" w:firstLineChars="200"/>
        <w:rPr>
          <w:rFonts w:ascii="宋体" w:hAnsi="宋体" w:cs="宋体"/>
          <w:sz w:val="24"/>
        </w:rPr>
      </w:pPr>
      <w:r>
        <w:rPr>
          <w:rFonts w:hint="eastAsia" w:ascii="宋体" w:hAnsi="宋体" w:cs="宋体"/>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pStyle w:val="27"/>
        <w:numPr>
          <w:ilvl w:val="0"/>
          <w:numId w:val="3"/>
        </w:numPr>
        <w:spacing w:line="360" w:lineRule="auto"/>
        <w:ind w:firstLineChars="0"/>
        <w:rPr>
          <w:b/>
          <w:sz w:val="24"/>
          <w:szCs w:val="24"/>
        </w:rPr>
      </w:pPr>
      <w:r>
        <w:rPr>
          <w:rFonts w:hint="eastAsia"/>
          <w:b/>
          <w:sz w:val="24"/>
          <w:szCs w:val="24"/>
        </w:rPr>
        <w:t>大学生职业生涯规划与就业指导</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ascii="宋体" w:hAnsi="宋体" w:cs="宋体"/>
          <w:sz w:val="24"/>
        </w:rPr>
      </w:pPr>
      <w:r>
        <w:rPr>
          <w:rFonts w:ascii="宋体" w:hAnsi="宋体" w:cs="宋体"/>
          <w:sz w:val="24"/>
        </w:rPr>
        <w:t>通过学习，</w:t>
      </w:r>
      <w:r>
        <w:rPr>
          <w:rFonts w:hint="eastAsia" w:ascii="宋体" w:hAnsi="宋体" w:cs="宋体"/>
          <w:sz w:val="24"/>
        </w:rPr>
        <w:t>培养</w:t>
      </w:r>
      <w:r>
        <w:rPr>
          <w:rFonts w:ascii="宋体" w:hAnsi="宋体" w:cs="宋体"/>
          <w:sz w:val="24"/>
        </w:rPr>
        <w:t>学生能够理解职业生涯规划的含义及其意义，了解与职业规划相关的理论。对如何进行职业生涯规划有一</w:t>
      </w:r>
      <w:r>
        <w:rPr>
          <w:rFonts w:hint="eastAsia" w:ascii="宋体" w:hAnsi="宋体" w:cs="宋体"/>
          <w:sz w:val="24"/>
        </w:rPr>
        <w:t>定</w:t>
      </w:r>
      <w:r>
        <w:rPr>
          <w:rFonts w:ascii="宋体" w:hAnsi="宋体" w:cs="宋体"/>
          <w:sz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rFonts w:ascii="宋体" w:hAnsi="宋体" w:cs="宋体"/>
          <w:sz w:val="24"/>
        </w:rPr>
      </w:pPr>
      <w:r>
        <w:rPr>
          <w:rFonts w:hint="eastAsia" w:ascii="宋体" w:hAnsi="宋体" w:cs="宋体"/>
          <w:sz w:val="24"/>
        </w:rPr>
        <w:t>该课程</w:t>
      </w:r>
      <w:r>
        <w:rPr>
          <w:rFonts w:ascii="宋体" w:hAnsi="宋体" w:cs="宋体"/>
          <w:sz w:val="24"/>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hint="eastAsia" w:ascii="宋体" w:hAnsi="宋体" w:cs="宋体"/>
          <w:sz w:val="24"/>
        </w:rPr>
        <w:t xml:space="preserve">   </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cs="宋体"/>
          <w:sz w:val="24"/>
        </w:rPr>
      </w:pPr>
      <w:r>
        <w:rPr>
          <w:rFonts w:hint="eastAsia" w:ascii="宋体" w:hAnsi="宋体" w:cs="宋体"/>
          <w:sz w:val="24"/>
        </w:rPr>
        <w:t>通过对该课程的学习使学生</w:t>
      </w:r>
      <w:r>
        <w:rPr>
          <w:rFonts w:ascii="宋体" w:hAnsi="宋体" w:cs="宋体"/>
          <w:sz w:val="24"/>
        </w:rPr>
        <w:t>以</w:t>
      </w:r>
      <w:r>
        <w:fldChar w:fldCharType="begin"/>
      </w:r>
      <w:r>
        <w:instrText xml:space="preserve"> HYPERLINK "https://baike.sogou.com/lemma/ShowInnerLink.htm?lemmaId=300085&amp;ss_c=ssc.citiao.link" \t "_blank" </w:instrText>
      </w:r>
      <w:r>
        <w:fldChar w:fldCharType="separate"/>
      </w:r>
      <w:r>
        <w:rPr>
          <w:rFonts w:ascii="宋体" w:hAnsi="宋体" w:cs="宋体"/>
          <w:sz w:val="24"/>
        </w:rPr>
        <w:t>职业生涯规划</w:t>
      </w:r>
      <w:r>
        <w:rPr>
          <w:rFonts w:ascii="宋体" w:hAnsi="宋体" w:cs="宋体"/>
          <w:sz w:val="24"/>
        </w:rPr>
        <w:fldChar w:fldCharType="end"/>
      </w:r>
      <w:r>
        <w:rPr>
          <w:rFonts w:ascii="宋体" w:hAnsi="宋体" w:cs="宋体"/>
          <w:sz w:val="24"/>
        </w:rPr>
        <w:t>的理论为基础，结合</w:t>
      </w:r>
      <w:r>
        <w:rPr>
          <w:rFonts w:hint="eastAsia" w:ascii="宋体" w:hAnsi="宋体" w:cs="宋体"/>
          <w:sz w:val="24"/>
        </w:rPr>
        <w:t>自身</w:t>
      </w:r>
      <w:r>
        <w:rPr>
          <w:rFonts w:ascii="宋体" w:hAnsi="宋体" w:cs="宋体"/>
          <w:sz w:val="24"/>
        </w:rPr>
        <w:t>的心理特点与需求，联系</w:t>
      </w:r>
      <w:r>
        <w:rPr>
          <w:rFonts w:hint="eastAsia" w:ascii="宋体" w:hAnsi="宋体" w:cs="宋体"/>
          <w:sz w:val="24"/>
        </w:rPr>
        <w:t>自身</w:t>
      </w:r>
      <w:r>
        <w:fldChar w:fldCharType="begin"/>
      </w:r>
      <w:r>
        <w:instrText xml:space="preserve"> HYPERLINK "https://baike.sogou.com/lemma/ShowInnerLink.htm?lemmaId=424718&amp;ss_c=ssc.citiao.link" \t "_blank" </w:instrText>
      </w:r>
      <w:r>
        <w:fldChar w:fldCharType="separate"/>
      </w:r>
      <w:r>
        <w:rPr>
          <w:rFonts w:ascii="宋体" w:hAnsi="宋体" w:cs="宋体"/>
          <w:sz w:val="24"/>
        </w:rPr>
        <w:t>职业生涯</w:t>
      </w:r>
      <w:r>
        <w:rPr>
          <w:rFonts w:ascii="宋体" w:hAnsi="宋体" w:cs="宋体"/>
          <w:sz w:val="24"/>
        </w:rPr>
        <w:fldChar w:fldCharType="end"/>
      </w:r>
      <w:r>
        <w:rPr>
          <w:rFonts w:ascii="宋体" w:hAnsi="宋体" w:cs="宋体"/>
          <w:sz w:val="24"/>
        </w:rPr>
        <w:t>的实际，理解职业生涯规划的科学理念；掌握</w:t>
      </w:r>
      <w:r>
        <w:rPr>
          <w:rFonts w:hint="eastAsia" w:ascii="宋体" w:hAnsi="宋体" w:cs="宋体"/>
          <w:sz w:val="24"/>
        </w:rPr>
        <w:t>并运用</w:t>
      </w:r>
      <w:r>
        <w:rPr>
          <w:rFonts w:ascii="宋体" w:hAnsi="宋体" w:cs="宋体"/>
          <w:sz w:val="24"/>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sz w:val="24"/>
        </w:rPr>
        <w:t>，</w:t>
      </w:r>
      <w:r>
        <w:rPr>
          <w:rFonts w:ascii="宋体" w:hAnsi="宋体" w:cs="宋体"/>
          <w:sz w:val="24"/>
        </w:rPr>
        <w:t>增强“我的职业我做主”的信心和主动性。</w:t>
      </w:r>
    </w:p>
    <w:p>
      <w:pPr>
        <w:pStyle w:val="27"/>
        <w:numPr>
          <w:ilvl w:val="0"/>
          <w:numId w:val="3"/>
        </w:numPr>
        <w:spacing w:line="360" w:lineRule="auto"/>
        <w:ind w:firstLineChars="0"/>
        <w:rPr>
          <w:b/>
          <w:sz w:val="24"/>
          <w:szCs w:val="24"/>
        </w:rPr>
      </w:pPr>
      <w:r>
        <w:rPr>
          <w:rFonts w:hint="eastAsia"/>
          <w:b/>
          <w:sz w:val="24"/>
          <w:szCs w:val="24"/>
        </w:rPr>
        <w:t>创新创业基础</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jc w:val="left"/>
        <w:rPr>
          <w:rFonts w:ascii="宋体" w:hAnsi="宋体"/>
          <w:sz w:val="24"/>
        </w:rPr>
      </w:pPr>
      <w:r>
        <w:rPr>
          <w:rFonts w:hint="eastAsia" w:ascii="宋体" w:hAnsi="宋体"/>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jc w:val="left"/>
        <w:rPr>
          <w:rFonts w:ascii="宋体" w:hAnsi="宋体"/>
          <w:sz w:val="24"/>
        </w:rPr>
      </w:pPr>
      <w:r>
        <w:rPr>
          <w:rFonts w:hint="eastAsia" w:ascii="宋体" w:hAnsi="宋体"/>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sz w:val="24"/>
        </w:rPr>
      </w:pPr>
      <w:r>
        <w:rPr>
          <w:rFonts w:hint="eastAsia" w:ascii="宋体" w:hAnsi="宋体"/>
          <w:sz w:val="24"/>
        </w:rPr>
        <w:t>学习本课程，重点</w:t>
      </w:r>
      <w:r>
        <w:rPr>
          <w:rFonts w:hint="eastAsia"/>
          <w:sz w:val="24"/>
          <w:szCs w:val="24"/>
        </w:rPr>
        <w:t>掌握基本的创新思维，熟悉主要的创新方法，了解新时代热门的新技术。立足本专业，学习专业知识，立志做一个具有工匠精神和创新精神的人——岗位创业者</w:t>
      </w:r>
      <w:r>
        <w:rPr>
          <w:rFonts w:hint="eastAsia" w:ascii="宋体" w:hAnsi="宋体"/>
          <w:sz w:val="24"/>
        </w:rPr>
        <w:t>。</w:t>
      </w:r>
    </w:p>
    <w:p>
      <w:pPr>
        <w:pStyle w:val="27"/>
        <w:numPr>
          <w:ilvl w:val="0"/>
          <w:numId w:val="3"/>
        </w:numPr>
        <w:spacing w:line="360" w:lineRule="auto"/>
        <w:ind w:firstLineChars="0"/>
        <w:rPr>
          <w:b/>
          <w:sz w:val="24"/>
          <w:szCs w:val="24"/>
        </w:rPr>
      </w:pPr>
      <w:r>
        <w:rPr>
          <w:rFonts w:hint="eastAsia"/>
          <w:b/>
          <w:sz w:val="24"/>
          <w:szCs w:val="24"/>
        </w:rPr>
        <w:t>专业英语</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cs="宋体"/>
          <w:sz w:val="24"/>
        </w:rPr>
      </w:pPr>
      <w:r>
        <w:rPr>
          <w:rFonts w:ascii="宋体" w:hAnsi="宋体" w:cs="宋体"/>
          <w:sz w:val="24"/>
        </w:rPr>
        <w:t>本课程用英语介绍涉及</w:t>
      </w:r>
      <w:r>
        <w:rPr>
          <w:rFonts w:hint="eastAsia" w:ascii="宋体" w:hAnsi="宋体" w:cs="宋体"/>
          <w:sz w:val="24"/>
        </w:rPr>
        <w:t>化工行业</w:t>
      </w:r>
      <w:r>
        <w:rPr>
          <w:rFonts w:ascii="宋体" w:hAnsi="宋体" w:cs="宋体"/>
          <w:sz w:val="24"/>
        </w:rPr>
        <w:t>的基本知识，其内容基本覆盖了</w:t>
      </w:r>
      <w:r>
        <w:rPr>
          <w:rFonts w:hint="eastAsia" w:ascii="宋体" w:hAnsi="宋体" w:cs="宋体"/>
          <w:sz w:val="24"/>
        </w:rPr>
        <w:t>该专业</w:t>
      </w:r>
      <w:r>
        <w:rPr>
          <w:rFonts w:ascii="宋体" w:hAnsi="宋体" w:cs="宋体"/>
          <w:sz w:val="24"/>
        </w:rPr>
        <w:t>的各个知识点</w:t>
      </w:r>
      <w:r>
        <w:rPr>
          <w:rFonts w:hint="eastAsia" w:ascii="宋体" w:hAnsi="宋体" w:cs="宋体"/>
          <w:sz w:val="24"/>
        </w:rPr>
        <w:t>。</w:t>
      </w:r>
      <w:r>
        <w:rPr>
          <w:rFonts w:ascii="宋体" w:hAnsi="宋体" w:cs="宋体"/>
          <w:sz w:val="24"/>
        </w:rPr>
        <w:t>通过</w:t>
      </w:r>
      <w:r>
        <w:rPr>
          <w:rFonts w:hint="eastAsia" w:ascii="宋体" w:hAnsi="宋体" w:cs="宋体"/>
          <w:sz w:val="24"/>
        </w:rPr>
        <w:t>本</w:t>
      </w:r>
      <w:r>
        <w:rPr>
          <w:rFonts w:ascii="宋体" w:hAnsi="宋体" w:cs="宋体"/>
          <w:sz w:val="24"/>
        </w:rPr>
        <w:t>课程的学习使学生</w:t>
      </w:r>
      <w:r>
        <w:rPr>
          <w:rFonts w:hint="eastAsia" w:ascii="宋体" w:hAnsi="宋体" w:cs="宋体"/>
          <w:sz w:val="24"/>
        </w:rPr>
        <w:t>了解</w:t>
      </w:r>
      <w:r>
        <w:rPr>
          <w:rFonts w:ascii="宋体" w:hAnsi="宋体" w:cs="宋体"/>
          <w:sz w:val="24"/>
        </w:rPr>
        <w:t>相关的</w:t>
      </w:r>
      <w:r>
        <w:rPr>
          <w:rFonts w:hint="eastAsia" w:ascii="宋体" w:hAnsi="宋体" w:cs="宋体"/>
          <w:sz w:val="24"/>
        </w:rPr>
        <w:t>专业</w:t>
      </w:r>
      <w:r>
        <w:rPr>
          <w:rFonts w:ascii="宋体" w:hAnsi="宋体" w:cs="宋体"/>
          <w:sz w:val="24"/>
        </w:rPr>
        <w:t>词汇和</w:t>
      </w:r>
      <w:r>
        <w:rPr>
          <w:rFonts w:hint="eastAsia" w:ascii="宋体" w:hAnsi="宋体" w:cs="宋体"/>
          <w:sz w:val="24"/>
        </w:rPr>
        <w:t>术语的英文表述，能够借助工具书查阅相关专业术语，并能</w:t>
      </w:r>
      <w:r>
        <w:rPr>
          <w:rFonts w:ascii="宋体" w:hAnsi="宋体" w:cs="宋体"/>
          <w:sz w:val="24"/>
        </w:rPr>
        <w:t>阅读</w:t>
      </w:r>
      <w:r>
        <w:rPr>
          <w:rFonts w:hint="eastAsia" w:ascii="宋体" w:hAnsi="宋体" w:cs="宋体"/>
          <w:sz w:val="24"/>
        </w:rPr>
        <w:t>与本专业相关的中低难度的</w:t>
      </w:r>
      <w:r>
        <w:rPr>
          <w:rFonts w:ascii="宋体" w:hAnsi="宋体" w:cs="宋体"/>
          <w:sz w:val="24"/>
        </w:rPr>
        <w:t>英文</w:t>
      </w:r>
      <w:r>
        <w:rPr>
          <w:rFonts w:hint="eastAsia" w:ascii="宋体" w:hAnsi="宋体" w:cs="宋体"/>
          <w:sz w:val="24"/>
        </w:rPr>
        <w:t>资料。使学生能够以已掌握的专业知识为依托提升自己的英语能力，同时又能以英语为载体进一步拓宽自己的专业知识。</w:t>
      </w:r>
    </w:p>
    <w:p>
      <w:pPr>
        <w:spacing w:line="360" w:lineRule="auto"/>
        <w:ind w:firstLine="424" w:firstLineChars="176"/>
        <w:rPr>
          <w:rFonts w:ascii="宋体" w:hAnsi="宋体"/>
          <w:b/>
          <w:sz w:val="24"/>
        </w:rPr>
      </w:pPr>
      <w:r>
        <w:rPr>
          <w:rFonts w:ascii="宋体" w:hAnsi="宋体"/>
          <w:b/>
          <w:sz w:val="24"/>
        </w:rPr>
        <w:t>主要内容</w:t>
      </w:r>
      <w:r>
        <w:rPr>
          <w:rFonts w:hint="eastAsia" w:ascii="宋体" w:hAnsi="宋体"/>
          <w:b/>
          <w:sz w:val="24"/>
        </w:rPr>
        <w:t>：</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本课程以化工行业为背景，涉及</w:t>
      </w:r>
      <w:r>
        <w:rPr>
          <w:rFonts w:hint="eastAsia"/>
          <w:sz w:val="24"/>
        </w:rPr>
        <w:t>化工行业</w:t>
      </w:r>
      <w:r>
        <w:rPr>
          <w:sz w:val="24"/>
        </w:rPr>
        <w:t>的基本理论、技术及应用，同时兼顾了相关的发展热点。</w:t>
      </w:r>
      <w:r>
        <w:rPr>
          <w:rFonts w:hint="eastAsia"/>
          <w:sz w:val="24"/>
        </w:rPr>
        <w:t>介绍了化工行业的执业前景、化工行业展望、化工与现代生活、绿色化工与环保、食品与化学产品的安全性、化学原料与产品设计、化学产品的市场调研与销售、世界著名企业简介等。</w:t>
      </w:r>
      <w:r>
        <w:rPr>
          <w:rFonts w:hint="eastAsia" w:ascii="宋体" w:hAnsi="宋体" w:cs="宋体"/>
          <w:kern w:val="0"/>
          <w:sz w:val="24"/>
        </w:rPr>
        <w:t>此外，课程还介绍专业英语和科技英语的特点，以及专业英语阅读、翻译的难点和技巧等。</w:t>
      </w:r>
    </w:p>
    <w:p>
      <w:pPr>
        <w:spacing w:line="360" w:lineRule="auto"/>
        <w:ind w:firstLine="424" w:firstLineChars="176"/>
        <w:rPr>
          <w:rFonts w:ascii="宋体" w:hAnsi="宋体"/>
          <w:b/>
          <w:sz w:val="24"/>
        </w:rPr>
      </w:pPr>
      <w:r>
        <w:rPr>
          <w:rFonts w:ascii="宋体" w:hAnsi="宋体"/>
          <w:b/>
          <w:sz w:val="24"/>
        </w:rPr>
        <w:t>教学要求</w:t>
      </w:r>
      <w:r>
        <w:rPr>
          <w:rFonts w:hint="eastAsia" w:ascii="宋体" w:hAnsi="宋体"/>
          <w:b/>
          <w:sz w:val="24"/>
        </w:rPr>
        <w:t>：</w:t>
      </w:r>
    </w:p>
    <w:p>
      <w:pPr>
        <w:pStyle w:val="27"/>
        <w:spacing w:line="360" w:lineRule="auto"/>
        <w:ind w:left="-2" w:leftChars="-1" w:firstLine="480"/>
        <w:rPr>
          <w:rFonts w:ascii="宋体" w:hAnsi="宋体" w:cs="宋体"/>
          <w:kern w:val="0"/>
          <w:sz w:val="24"/>
        </w:rPr>
      </w:pPr>
      <w:r>
        <w:rPr>
          <w:rFonts w:ascii="宋体" w:hAnsi="宋体" w:cs="宋体"/>
          <w:kern w:val="0"/>
          <w:sz w:val="24"/>
        </w:rPr>
        <w:t>通过本课程的学习，使学生掌握</w:t>
      </w:r>
      <w:r>
        <w:rPr>
          <w:rFonts w:hint="eastAsia" w:ascii="宋体" w:hAnsi="宋体" w:cs="宋体"/>
          <w:kern w:val="0"/>
          <w:sz w:val="24"/>
        </w:rPr>
        <w:t>化工行业</w:t>
      </w:r>
      <w:r>
        <w:rPr>
          <w:rFonts w:ascii="宋体" w:hAnsi="宋体" w:cs="宋体"/>
          <w:kern w:val="0"/>
          <w:sz w:val="24"/>
        </w:rPr>
        <w:t>常用</w:t>
      </w:r>
      <w:r>
        <w:rPr>
          <w:rFonts w:hint="eastAsia" w:ascii="宋体" w:hAnsi="宋体" w:cs="宋体"/>
          <w:kern w:val="0"/>
          <w:sz w:val="24"/>
        </w:rPr>
        <w:t>的英文术语</w:t>
      </w:r>
      <w:r>
        <w:rPr>
          <w:rFonts w:ascii="宋体" w:hAnsi="宋体" w:cs="宋体"/>
          <w:kern w:val="0"/>
          <w:sz w:val="24"/>
        </w:rPr>
        <w:t>，</w:t>
      </w:r>
      <w:r>
        <w:rPr>
          <w:rFonts w:hint="eastAsia" w:ascii="宋体" w:hAnsi="宋体" w:cs="宋体"/>
          <w:kern w:val="0"/>
          <w:sz w:val="24"/>
        </w:rPr>
        <w:t>积累专业</w:t>
      </w:r>
      <w:r>
        <w:rPr>
          <w:rFonts w:ascii="宋体" w:hAnsi="宋体" w:cs="宋体"/>
          <w:kern w:val="0"/>
          <w:sz w:val="24"/>
        </w:rPr>
        <w:t>词汇量</w:t>
      </w:r>
      <w:r>
        <w:rPr>
          <w:rFonts w:hint="eastAsia" w:ascii="宋体" w:hAnsi="宋体" w:cs="宋体"/>
          <w:kern w:val="0"/>
          <w:sz w:val="24"/>
        </w:rPr>
        <w:t>；</w:t>
      </w:r>
      <w:r>
        <w:rPr>
          <w:rFonts w:ascii="宋体" w:hAnsi="宋体" w:cs="宋体"/>
          <w:kern w:val="0"/>
          <w:sz w:val="24"/>
        </w:rPr>
        <w:t>使学生</w:t>
      </w:r>
      <w:r>
        <w:rPr>
          <w:rFonts w:hint="eastAsia" w:ascii="宋体" w:hAnsi="宋体" w:cs="宋体"/>
          <w:kern w:val="0"/>
          <w:sz w:val="24"/>
        </w:rPr>
        <w:t>学会利用</w:t>
      </w:r>
      <w:r>
        <w:rPr>
          <w:rFonts w:ascii="宋体" w:hAnsi="宋体" w:cs="宋体"/>
          <w:kern w:val="0"/>
          <w:sz w:val="24"/>
        </w:rPr>
        <w:t>英语工具获取专业所需的信息</w:t>
      </w:r>
      <w:r>
        <w:rPr>
          <w:rFonts w:hint="eastAsia" w:ascii="宋体" w:hAnsi="宋体" w:cs="宋体"/>
          <w:kern w:val="0"/>
          <w:sz w:val="24"/>
        </w:rPr>
        <w:t>；培养学生对本</w:t>
      </w:r>
      <w:r>
        <w:rPr>
          <w:rFonts w:ascii="宋体" w:hAnsi="宋体" w:cs="宋体"/>
          <w:kern w:val="0"/>
          <w:sz w:val="24"/>
        </w:rPr>
        <w:t>专业</w:t>
      </w:r>
      <w:r>
        <w:rPr>
          <w:rFonts w:hint="eastAsia" w:ascii="宋体" w:hAnsi="宋体" w:cs="宋体"/>
          <w:kern w:val="0"/>
          <w:sz w:val="24"/>
        </w:rPr>
        <w:t>中低难度</w:t>
      </w:r>
      <w:r>
        <w:rPr>
          <w:rFonts w:ascii="宋体" w:hAnsi="宋体" w:cs="宋体"/>
          <w:kern w:val="0"/>
          <w:sz w:val="24"/>
        </w:rPr>
        <w:t>的英语资料的理解能力</w:t>
      </w:r>
      <w:r>
        <w:rPr>
          <w:rFonts w:hint="eastAsia" w:ascii="宋体" w:hAnsi="宋体" w:cs="宋体"/>
          <w:kern w:val="0"/>
          <w:sz w:val="24"/>
        </w:rPr>
        <w:t>，</w:t>
      </w:r>
      <w:r>
        <w:rPr>
          <w:rFonts w:ascii="宋体" w:hAnsi="宋体" w:cs="宋体"/>
          <w:kern w:val="0"/>
          <w:sz w:val="24"/>
        </w:rPr>
        <w:t>为在工作中查阅</w:t>
      </w:r>
      <w:r>
        <w:rPr>
          <w:rFonts w:hint="eastAsia" w:ascii="宋体" w:hAnsi="宋体" w:cs="宋体"/>
          <w:kern w:val="0"/>
          <w:sz w:val="24"/>
        </w:rPr>
        <w:t>本专业相</w:t>
      </w:r>
      <w:r>
        <w:rPr>
          <w:rFonts w:ascii="宋体" w:hAnsi="宋体" w:cs="宋体"/>
          <w:kern w:val="0"/>
          <w:sz w:val="24"/>
        </w:rPr>
        <w:t>英文资料奠定基础。</w:t>
      </w:r>
    </w:p>
    <w:p>
      <w:pPr>
        <w:pStyle w:val="27"/>
        <w:numPr>
          <w:ilvl w:val="0"/>
          <w:numId w:val="3"/>
        </w:numPr>
        <w:spacing w:line="360" w:lineRule="auto"/>
        <w:ind w:firstLineChars="0"/>
        <w:rPr>
          <w:b/>
          <w:sz w:val="24"/>
          <w:szCs w:val="24"/>
        </w:rPr>
      </w:pPr>
      <w:r>
        <w:rPr>
          <w:rFonts w:hint="eastAsia"/>
          <w:b/>
          <w:sz w:val="24"/>
          <w:szCs w:val="24"/>
        </w:rPr>
        <w:t>计算机应用基础</w:t>
      </w:r>
    </w:p>
    <w:p>
      <w:pPr>
        <w:spacing w:line="360" w:lineRule="auto"/>
        <w:ind w:firstLine="482" w:firstLineChars="200"/>
        <w:rPr>
          <w:rFonts w:ascii="宋体" w:hAnsi="宋体"/>
          <w:b/>
          <w:bCs/>
          <w:sz w:val="24"/>
        </w:rPr>
      </w:pPr>
      <w:r>
        <w:rPr>
          <w:rFonts w:hint="eastAsia" w:ascii="宋体" w:hAnsi="宋体"/>
          <w:b/>
          <w:bCs/>
          <w:sz w:val="24"/>
        </w:rPr>
        <w:t>课程目标：</w:t>
      </w:r>
    </w:p>
    <w:p>
      <w:pPr>
        <w:spacing w:line="360" w:lineRule="auto"/>
        <w:ind w:firstLine="480" w:firstLineChars="200"/>
        <w:rPr>
          <w:rFonts w:ascii="宋体" w:hAnsi="宋体"/>
          <w:sz w:val="24"/>
        </w:rPr>
      </w:pPr>
      <w:r>
        <w:rPr>
          <w:rFonts w:hint="eastAsia" w:ascii="宋体" w:hAnsi="宋体"/>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主要内容：</w:t>
      </w:r>
    </w:p>
    <w:p>
      <w:pPr>
        <w:spacing w:line="360" w:lineRule="auto"/>
        <w:ind w:firstLine="480" w:firstLineChars="200"/>
        <w:rPr>
          <w:rFonts w:ascii="宋体" w:hAnsi="宋体"/>
          <w:sz w:val="24"/>
        </w:rPr>
      </w:pPr>
      <w:r>
        <w:rPr>
          <w:rFonts w:hint="eastAsia" w:ascii="宋体" w:hAnsi="宋体"/>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教学要求：</w:t>
      </w:r>
    </w:p>
    <w:p>
      <w:pPr>
        <w:spacing w:line="360" w:lineRule="auto"/>
        <w:ind w:firstLine="480" w:firstLineChars="200"/>
        <w:rPr>
          <w:rFonts w:ascii="宋体" w:hAnsi="宋体"/>
          <w:sz w:val="24"/>
        </w:rPr>
      </w:pPr>
      <w:r>
        <w:rPr>
          <w:rFonts w:hint="eastAsia" w:ascii="宋体" w:hAnsi="宋体"/>
          <w:sz w:val="24"/>
        </w:rPr>
        <w:t>课程教学以培养学生计算机综合应用能力为目标，课堂教学围绕实际的办公案例展开，将具体的案例根据章节知识点进行分解讲授，以教师操作演示为辅，学生模拟训练为主的方式进行教学。</w:t>
      </w:r>
    </w:p>
    <w:p>
      <w:pPr>
        <w:spacing w:line="360" w:lineRule="auto"/>
        <w:ind w:firstLine="424" w:firstLineChars="176"/>
        <w:rPr>
          <w:rFonts w:ascii="宋体" w:hAnsi="宋体"/>
          <w:b/>
          <w:sz w:val="24"/>
        </w:rPr>
      </w:pPr>
      <w:r>
        <w:rPr>
          <w:rFonts w:hint="eastAsia" w:ascii="宋体" w:hAnsi="宋体"/>
          <w:b/>
          <w:sz w:val="24"/>
        </w:rPr>
        <w:t>（二）专业</w:t>
      </w:r>
      <w:r>
        <w:rPr>
          <w:rFonts w:hint="eastAsia" w:asciiTheme="minorEastAsia" w:hAnsiTheme="minorEastAsia"/>
          <w:b/>
          <w:sz w:val="24"/>
          <w:szCs w:val="24"/>
        </w:rPr>
        <w:t>（技能）</w:t>
      </w:r>
      <w:r>
        <w:rPr>
          <w:rFonts w:hint="eastAsia" w:ascii="宋体" w:hAnsi="宋体"/>
          <w:b/>
          <w:sz w:val="24"/>
        </w:rPr>
        <w:t>课程</w:t>
      </w:r>
    </w:p>
    <w:p>
      <w:pPr>
        <w:pStyle w:val="27"/>
        <w:numPr>
          <w:ilvl w:val="0"/>
          <w:numId w:val="4"/>
        </w:numPr>
        <w:spacing w:line="360" w:lineRule="auto"/>
        <w:ind w:left="709" w:hanging="290" w:firstLineChars="0"/>
        <w:rPr>
          <w:b/>
          <w:sz w:val="24"/>
          <w:szCs w:val="24"/>
        </w:rPr>
      </w:pPr>
      <w:r>
        <w:rPr>
          <w:b/>
          <w:sz w:val="24"/>
          <w:szCs w:val="24"/>
        </w:rPr>
        <w:t>化工安全技术</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2" w:firstLineChars="176"/>
        <w:rPr>
          <w:rFonts w:asciiTheme="minorEastAsia" w:hAnsiTheme="minorEastAsia"/>
          <w:sz w:val="24"/>
          <w:szCs w:val="24"/>
        </w:rPr>
      </w:pPr>
      <w:r>
        <w:rPr>
          <w:rFonts w:hint="eastAsia"/>
          <w:sz w:val="24"/>
          <w:szCs w:val="24"/>
        </w:rPr>
        <w:t>《</w:t>
      </w:r>
      <w:r>
        <w:rPr>
          <w:sz w:val="24"/>
          <w:szCs w:val="24"/>
        </w:rPr>
        <w:t>化工安全技术</w:t>
      </w:r>
      <w:r>
        <w:rPr>
          <w:rFonts w:hint="eastAsia"/>
          <w:sz w:val="24"/>
          <w:szCs w:val="24"/>
        </w:rPr>
        <w:t>》是应用化工技术专业的专业核心课程，</w:t>
      </w:r>
      <w:r>
        <w:rPr>
          <w:rFonts w:hint="eastAsia" w:asciiTheme="minorEastAsia" w:hAnsiTheme="minorEastAsia"/>
          <w:sz w:val="24"/>
          <w:szCs w:val="24"/>
        </w:rPr>
        <w:t>化工生产具有生产工艺复杂多变、原材料以及产品易燃易爆、有毒有害和腐蚀性，生产装置大型化、过程连续化、自动化等特点，因此在生产过程中存在着潜在的危险，这些危险因素在一定的条件下会转变为事故，从而破坏正常生产并危及人的生命安全。因此，很有必要研究生产过程事故的成因及其控制，并结合人的因素探讨如何健全生产过程。</w:t>
      </w:r>
    </w:p>
    <w:p>
      <w:pPr>
        <w:spacing w:line="360" w:lineRule="auto"/>
        <w:ind w:firstLine="424" w:firstLineChars="176"/>
        <w:rPr>
          <w:rFonts w:ascii="宋体" w:hAnsi="宋体"/>
          <w:b/>
          <w:sz w:val="24"/>
        </w:rPr>
      </w:pPr>
      <w:r>
        <w:rPr>
          <w:rFonts w:hint="eastAsia" w:ascii="宋体" w:hAnsi="宋体"/>
          <w:b/>
          <w:sz w:val="24"/>
        </w:rPr>
        <w:t>主要内容：</w:t>
      </w:r>
    </w:p>
    <w:p>
      <w:pPr>
        <w:pStyle w:val="27"/>
        <w:widowControl/>
        <w:spacing w:line="360" w:lineRule="auto"/>
        <w:ind w:left="1" w:firstLine="422" w:firstLineChars="176"/>
        <w:jc w:val="left"/>
        <w:rPr>
          <w:rFonts w:ascii="宋体" w:hAnsi="宋体" w:cs="宋体"/>
          <w:b/>
          <w:kern w:val="0"/>
          <w:sz w:val="24"/>
          <w:szCs w:val="24"/>
        </w:rPr>
      </w:pPr>
      <w:r>
        <w:rPr>
          <w:rFonts w:hint="eastAsia" w:asciiTheme="minorEastAsia" w:hAnsiTheme="minorEastAsia"/>
          <w:sz w:val="24"/>
          <w:szCs w:val="24"/>
        </w:rPr>
        <w:t>以化工生产中存在的各类危险源为主线，分别针对火灾爆炸、危险化学品、尘毒危害、酸碱腐蚀、压力容器、电气安全、装置检修等不安全因素而采取的预防与控制措施，以及企业安全管理的方法等来进行教学内容的组织与安排。</w:t>
      </w:r>
    </w:p>
    <w:p>
      <w:pPr>
        <w:spacing w:line="360" w:lineRule="auto"/>
        <w:ind w:firstLine="424" w:firstLineChars="176"/>
        <w:rPr>
          <w:rFonts w:ascii="宋体" w:hAnsi="宋体"/>
          <w:b/>
          <w:sz w:val="24"/>
        </w:rPr>
      </w:pPr>
      <w:r>
        <w:rPr>
          <w:rFonts w:hint="eastAsia" w:ascii="宋体" w:hAnsi="宋体"/>
          <w:b/>
          <w:sz w:val="24"/>
        </w:rPr>
        <w:t>教学要求：</w:t>
      </w:r>
    </w:p>
    <w:p>
      <w:pPr>
        <w:pStyle w:val="27"/>
        <w:widowControl/>
        <w:spacing w:line="360" w:lineRule="auto"/>
        <w:ind w:firstLine="422" w:firstLineChars="176"/>
        <w:jc w:val="left"/>
        <w:rPr>
          <w:rFonts w:asciiTheme="minorEastAsia" w:hAnsiTheme="minorEastAsia"/>
          <w:sz w:val="24"/>
          <w:szCs w:val="24"/>
        </w:rPr>
      </w:pPr>
      <w:r>
        <w:rPr>
          <w:rFonts w:hint="eastAsia" w:asciiTheme="minorEastAsia" w:hAnsiTheme="minorEastAsia"/>
          <w:sz w:val="24"/>
          <w:szCs w:val="24"/>
        </w:rPr>
        <w:t>本课程教学中重点分析化工生产中各类危险源的特点、发生规律、控制原理，以及预防与控制措施，使其掌握化工职业岗位群所需的安全知识与技能，着重培养学生发现问题、分析问题和解决问题的能力。</w:t>
      </w:r>
    </w:p>
    <w:p>
      <w:pPr>
        <w:pStyle w:val="27"/>
        <w:numPr>
          <w:ilvl w:val="0"/>
          <w:numId w:val="4"/>
        </w:numPr>
        <w:spacing w:line="360" w:lineRule="auto"/>
        <w:ind w:left="709" w:hanging="290" w:firstLineChars="0"/>
        <w:rPr>
          <w:b/>
          <w:sz w:val="24"/>
          <w:szCs w:val="24"/>
        </w:rPr>
      </w:pPr>
      <w:r>
        <w:rPr>
          <w:rFonts w:hint="eastAsia"/>
          <w:b/>
          <w:sz w:val="24"/>
          <w:szCs w:val="24"/>
        </w:rPr>
        <w:t>化工单元操作</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sz w:val="24"/>
          <w:szCs w:val="24"/>
        </w:rPr>
      </w:pPr>
      <w:r>
        <w:rPr>
          <w:rFonts w:hint="eastAsia"/>
          <w:sz w:val="24"/>
          <w:szCs w:val="24"/>
        </w:rPr>
        <w:t>《化工单元操作》是应用化工技术专业的一门专业核心课，其主要内容是以化工生产中的物理加工过程为背景，依据操作原理的共性，分成为若干单元操作过程，学习各单元操作的基本原理、基本计算、典型设备及生产中的操作控制方法。课程所涉的知识和技能在实际生产中具备很高的应用价值，是培养学生专业职业能力的一门必不可少的工程课程。</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sz w:val="24"/>
          <w:szCs w:val="24"/>
        </w:rPr>
      </w:pPr>
      <w:r>
        <w:rPr>
          <w:rFonts w:hint="eastAsia"/>
          <w:sz w:val="24"/>
        </w:rPr>
        <w:t>学习流体流动与输送、非均相物系分离、传热、蒸馏、吸收、干燥等化工单元操作基本原理及典型设备知识，使学生掌握化工单元操作的基本原理、基本计算，熟悉典型化工设备性能、结构与操作。</w:t>
      </w:r>
    </w:p>
    <w:p>
      <w:pPr>
        <w:spacing w:line="360" w:lineRule="auto"/>
        <w:ind w:firstLine="424" w:firstLineChars="176"/>
        <w:rPr>
          <w:rFonts w:ascii="宋体" w:hAnsi="宋体"/>
          <w:b/>
          <w:sz w:val="24"/>
        </w:rPr>
      </w:pPr>
      <w:r>
        <w:rPr>
          <w:rFonts w:hint="eastAsia" w:ascii="宋体" w:hAnsi="宋体"/>
          <w:b/>
          <w:sz w:val="24"/>
        </w:rPr>
        <w:t xml:space="preserve"> 教学要求：</w:t>
      </w:r>
    </w:p>
    <w:p>
      <w:pPr>
        <w:spacing w:line="360" w:lineRule="auto"/>
        <w:ind w:firstLine="420" w:firstLineChars="175"/>
        <w:rPr>
          <w:sz w:val="24"/>
          <w:szCs w:val="24"/>
        </w:rPr>
      </w:pPr>
      <w:r>
        <w:rPr>
          <w:rFonts w:hint="eastAsia"/>
          <w:sz w:val="24"/>
          <w:szCs w:val="24"/>
        </w:rPr>
        <w:t>通过该课程的学习，对应用化工技术专业具有一定的认知能力，具有一定发现问题、分析问题、解决问题能力和逻辑思维能力，具有化工生产操作方面的信息搜集能力和知识获取的能力。</w:t>
      </w:r>
    </w:p>
    <w:p>
      <w:pPr>
        <w:pStyle w:val="27"/>
        <w:numPr>
          <w:ilvl w:val="0"/>
          <w:numId w:val="4"/>
        </w:numPr>
        <w:spacing w:line="360" w:lineRule="auto"/>
        <w:ind w:left="709" w:hanging="290" w:firstLineChars="0"/>
        <w:rPr>
          <w:b/>
          <w:sz w:val="24"/>
          <w:szCs w:val="24"/>
        </w:rPr>
      </w:pPr>
      <w:r>
        <w:rPr>
          <w:b/>
          <w:sz w:val="24"/>
          <w:szCs w:val="24"/>
        </w:rPr>
        <w:t>化工仪表及自动化</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《化工仪表及自动化》</w:t>
      </w:r>
      <w:r>
        <w:rPr>
          <w:rFonts w:hint="eastAsia" w:asciiTheme="minorEastAsia" w:hAnsiTheme="minorEastAsia"/>
          <w:sz w:val="24"/>
          <w:szCs w:val="24"/>
        </w:rPr>
        <w:t>是应用化工技术专业的一门</w:t>
      </w:r>
      <w:r>
        <w:rPr>
          <w:rFonts w:hint="eastAsia"/>
          <w:sz w:val="24"/>
          <w:szCs w:val="24"/>
        </w:rPr>
        <w:t>专业核心课程</w:t>
      </w:r>
      <w:r>
        <w:rPr>
          <w:rFonts w:hint="eastAsia" w:asciiTheme="minorEastAsia" w:hAnsiTheme="minorEastAsia"/>
          <w:sz w:val="24"/>
          <w:szCs w:val="24"/>
        </w:rPr>
        <w:t>。通过该课程的学习，对自动化系统及仪表在生产过程中的有正确的认识，为今后从事工艺生产操作，提高生产操作水平打下一定的基础。当学生毕业后成为化工厂以及相关的行业生产操作时，能在生产控制、管理和调度中，能正确地选用和使用常规的测量仪表和控制装置，面对大量先进的自动化生产成套设备及装置，能在生产开、停车过程中了解自控系统的投运方法和参数整定，并对生产过程自动化及仪表的现状和发展有所认识，以促进生产操作水平的提高。</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22" w:firstLineChars="176"/>
        <w:rPr>
          <w:rFonts w:asciiTheme="minorEastAsia" w:hAnsiTheme="minorEastAsia"/>
          <w:sz w:val="24"/>
          <w:szCs w:val="24"/>
        </w:rPr>
      </w:pPr>
      <w:r>
        <w:rPr>
          <w:rFonts w:hint="eastAsia" w:asciiTheme="minorEastAsia" w:hAnsiTheme="minorEastAsia"/>
          <w:sz w:val="24"/>
          <w:szCs w:val="24"/>
        </w:rPr>
        <w:t>介绍常用化工仪表的基本常识、自动控制中基本规律和控制方法，以化工生产操作为主，选择典型的仪表配置和控制方案。主要内容有：仪表的种类、控制方法、自控方案的制定等。通过本课程的学习，使学生能够了解化工自动化的基础知识，初步掌握它们在化工生产中的基本应用，培养学生工程实践能力和创新能力，拓宽知识面。</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rFonts w:asciiTheme="minorEastAsia" w:hAnsiTheme="minorEastAsia"/>
          <w:sz w:val="24"/>
          <w:szCs w:val="24"/>
        </w:rPr>
      </w:pPr>
      <w:r>
        <w:rPr>
          <w:rFonts w:hint="eastAsia" w:asciiTheme="minorEastAsia" w:hAnsiTheme="minorEastAsia"/>
          <w:sz w:val="24"/>
          <w:szCs w:val="24"/>
        </w:rPr>
        <w:t>了解化工生产过程常用的仪表的种类、结构和性能，掌握仪表流程图的绘制和仪表的配置，并了解化工厂常用的仪器的特性及使用性能，了解化工厂常用的自动化仪表的应用及控制方案，熟练掌握仪表代号，会看仪表图纸。</w:t>
      </w:r>
    </w:p>
    <w:p>
      <w:pPr>
        <w:pStyle w:val="27"/>
        <w:numPr>
          <w:ilvl w:val="0"/>
          <w:numId w:val="4"/>
        </w:numPr>
        <w:spacing w:line="360" w:lineRule="auto"/>
        <w:ind w:left="709" w:hanging="290" w:firstLineChars="0"/>
        <w:rPr>
          <w:b/>
          <w:sz w:val="24"/>
          <w:szCs w:val="24"/>
        </w:rPr>
      </w:pPr>
      <w:r>
        <w:rPr>
          <w:b/>
          <w:sz w:val="24"/>
          <w:szCs w:val="24"/>
        </w:rPr>
        <w:t>工业分析</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pPr>
      <w:r>
        <w:rPr>
          <w:rFonts w:hint="eastAsia"/>
          <w:sz w:val="24"/>
          <w:szCs w:val="24"/>
        </w:rPr>
        <w:t>《</w:t>
      </w:r>
      <w:r>
        <w:rPr>
          <w:sz w:val="24"/>
          <w:szCs w:val="24"/>
        </w:rPr>
        <w:t>工业分析</w:t>
      </w:r>
      <w:r>
        <w:rPr>
          <w:rFonts w:hint="eastAsia"/>
          <w:sz w:val="24"/>
          <w:szCs w:val="24"/>
        </w:rPr>
        <w:t>》是应用化工技术专业的专业核心课程，本课程王要培养在化工，建材、医药、环保、轻工、冶金、地质等部门从事检验及实验室组织管理的应用型高级技术人才。培养从事在各工业部门应用化学分析和现代仪器分析进行分析、开发的高级工程应用性研究的能力和科技开发、技术管理的初步能力为主线。通过系统的理论教学，使学生掌握化工原料，化工产品和天然矿物等方面的分析万法；通过实践环节的单项训练及综合训练，提高学生综合、应用知识解决实际问题的能力，培养学生严格的科学作风。</w:t>
      </w:r>
    </w:p>
    <w:p>
      <w:pPr>
        <w:spacing w:line="360" w:lineRule="auto"/>
        <w:ind w:firstLine="424" w:firstLineChars="176"/>
        <w:rPr>
          <w:rFonts w:ascii="宋体" w:hAnsi="宋体"/>
          <w:b/>
          <w:sz w:val="24"/>
        </w:rPr>
      </w:pPr>
      <w:r>
        <w:rPr>
          <w:rFonts w:hint="eastAsia" w:ascii="宋体" w:hAnsi="宋体"/>
          <w:b/>
          <w:sz w:val="24"/>
        </w:rPr>
        <w:t>主要内容：</w:t>
      </w:r>
    </w:p>
    <w:p>
      <w:pPr>
        <w:snapToGrid w:val="0"/>
        <w:spacing w:line="400" w:lineRule="exact"/>
        <w:ind w:firstLine="315" w:firstLineChars="150"/>
        <w:rPr>
          <w:sz w:val="24"/>
          <w:szCs w:val="24"/>
        </w:rPr>
      </w:pPr>
      <w:r>
        <w:rPr>
          <w:rFonts w:hint="eastAsia"/>
        </w:rPr>
        <w:t>主</w:t>
      </w:r>
      <w:r>
        <w:rPr>
          <w:rFonts w:hint="eastAsia"/>
          <w:sz w:val="24"/>
          <w:szCs w:val="24"/>
        </w:rPr>
        <w:t>要讲述实验预备知识、样品的采取与制备，水质分析、煤和焦炭的分析、硅酸盐分析、钢铁分析等原理与方法，典型化工产品质量检验与评价方法，</w:t>
      </w:r>
      <w:r>
        <w:rPr>
          <w:rFonts w:hint="eastAsia"/>
        </w:rPr>
        <w:t>含铁溶液中铁含量的测定含铜溶液中铜的测定等</w:t>
      </w:r>
      <w:r>
        <w:rPr>
          <w:rFonts w:hint="eastAsia"/>
          <w:sz w:val="24"/>
          <w:szCs w:val="24"/>
        </w:rPr>
        <w:t>工业分析试验测定方法、终点判断等。</w:t>
      </w:r>
    </w:p>
    <w:p>
      <w:pPr>
        <w:spacing w:line="360" w:lineRule="auto"/>
        <w:ind w:firstLine="424" w:firstLineChars="176"/>
        <w:rPr>
          <w:rFonts w:ascii="宋体" w:hAnsi="宋体"/>
          <w:b/>
          <w:sz w:val="24"/>
        </w:rPr>
      </w:pPr>
      <w:r>
        <w:rPr>
          <w:rFonts w:hint="eastAsia" w:ascii="宋体" w:hAnsi="宋体"/>
          <w:b/>
          <w:sz w:val="24"/>
        </w:rPr>
        <w:t>教学要求：</w:t>
      </w:r>
    </w:p>
    <w:p>
      <w:pPr>
        <w:pStyle w:val="27"/>
        <w:widowControl/>
        <w:spacing w:line="360" w:lineRule="auto"/>
        <w:ind w:firstLine="422" w:firstLineChars="176"/>
        <w:jc w:val="left"/>
      </w:pPr>
      <w:r>
        <w:rPr>
          <w:rFonts w:hint="eastAsia"/>
          <w:sz w:val="24"/>
          <w:szCs w:val="24"/>
        </w:rPr>
        <w:t>掌握实验预备知识、样品的采取与制备方法，水质、煤和焦炭、硅酸盐、钢铁等分析原理与测定方法，</w:t>
      </w:r>
      <w:r>
        <w:rPr>
          <w:rFonts w:hint="eastAsia"/>
        </w:rPr>
        <w:t>能进行简单的应急处理，配制系列标准溶液，按照既定的实验方案进行相关的实验，能进行简单的样品处理和实验数据结果的处理。</w:t>
      </w:r>
    </w:p>
    <w:p>
      <w:pPr>
        <w:pStyle w:val="27"/>
        <w:numPr>
          <w:ilvl w:val="0"/>
          <w:numId w:val="4"/>
        </w:numPr>
        <w:spacing w:line="360" w:lineRule="auto"/>
        <w:ind w:left="709" w:hanging="290" w:firstLineChars="0"/>
        <w:rPr>
          <w:b/>
          <w:sz w:val="24"/>
          <w:szCs w:val="24"/>
        </w:rPr>
      </w:pPr>
      <w:r>
        <w:rPr>
          <w:b/>
          <w:sz w:val="24"/>
          <w:szCs w:val="24"/>
        </w:rPr>
        <w:t>化学反应过程及设备</w:t>
      </w:r>
    </w:p>
    <w:p>
      <w:pPr>
        <w:spacing w:line="360" w:lineRule="auto"/>
        <w:ind w:firstLine="424" w:firstLineChars="176"/>
        <w:rPr>
          <w:rFonts w:ascii="宋体" w:hAnsi="宋体"/>
          <w:b/>
          <w:sz w:val="24"/>
        </w:rPr>
      </w:pPr>
      <w:r>
        <w:rPr>
          <w:rFonts w:hint="eastAsia" w:ascii="宋体" w:hAnsi="宋体"/>
          <w:b/>
          <w:sz w:val="24"/>
        </w:rPr>
        <w:t>课程目标：</w:t>
      </w:r>
    </w:p>
    <w:p>
      <w:pPr>
        <w:pStyle w:val="27"/>
        <w:widowControl/>
        <w:spacing w:line="360" w:lineRule="auto"/>
        <w:ind w:left="-2" w:leftChars="-1" w:firstLine="424" w:firstLineChars="177"/>
        <w:jc w:val="left"/>
        <w:rPr>
          <w:rFonts w:ascii="宋体" w:hAnsi="宋体" w:cs="宋体"/>
          <w:b/>
          <w:kern w:val="0"/>
          <w:sz w:val="24"/>
          <w:szCs w:val="24"/>
        </w:rPr>
      </w:pPr>
      <w:r>
        <w:rPr>
          <w:rFonts w:hint="eastAsia"/>
          <w:sz w:val="24"/>
          <w:szCs w:val="24"/>
        </w:rPr>
        <w:t>《</w:t>
      </w:r>
      <w:r>
        <w:rPr>
          <w:sz w:val="24"/>
          <w:szCs w:val="24"/>
        </w:rPr>
        <w:t>化学反应过程及设备</w:t>
      </w:r>
      <w:r>
        <w:rPr>
          <w:rFonts w:hint="eastAsia"/>
          <w:sz w:val="24"/>
          <w:szCs w:val="24"/>
        </w:rPr>
        <w:t>》是应用化工技术专业的专业核心课程，通过该课程的学习，使学生</w:t>
      </w:r>
      <w:r>
        <w:rPr>
          <w:sz w:val="24"/>
        </w:rPr>
        <w:t>了解化学反应工程方面的基础理论，掌握化学工业典型反应器的构造</w:t>
      </w:r>
      <w:r>
        <w:rPr>
          <w:rFonts w:hint="eastAsia"/>
          <w:sz w:val="24"/>
        </w:rPr>
        <w:t>、</w:t>
      </w:r>
      <w:r>
        <w:rPr>
          <w:sz w:val="24"/>
        </w:rPr>
        <w:t>反应原理，熟悉最基本的工艺设计。以就业为导向,以专业需求为目标,以技能培养为主线,培养学生分析问题和解决问题的能力,为增强适应职业变化能力和继续学习的能力打下坚实的基础。</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22" w:firstLineChars="176"/>
        <w:rPr>
          <w:sz w:val="24"/>
        </w:rPr>
      </w:pPr>
      <w:r>
        <w:rPr>
          <w:rFonts w:hint="eastAsia"/>
          <w:sz w:val="24"/>
        </w:rPr>
        <w:t>各种反应器的基本结构与基本特点，各类型反应器的类型选择方法，动力学基本概念；，理想流动模型，釜式反应器各部分结构和作用，间歇操作釜式反应器工艺设计方法，连续操作釜式反应器工艺设计方法，釜式反应器配套设施的选择，连续操作管式反应器工艺设计方法，均相反应器的优化目标与实现初步优化的方法，固定床、流化床、鼓泡塔和填料塔反应器工艺设计方法。</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sz w:val="24"/>
        </w:rPr>
      </w:pPr>
      <w:r>
        <w:rPr>
          <w:rFonts w:hint="eastAsia"/>
          <w:sz w:val="24"/>
        </w:rPr>
        <w:t>通过本课程的学习，使学生能掌握各种反应器的基本结构、特点，掌握化学反应动力学表述方式，掌握各种反应器工艺设计方法，能根据反应特征和条件选择反应器，初步掌握各种反应器的基本操作和基本维护方法，能判断和排除常见的不正常工况，能初步对反应过程进行优化。</w:t>
      </w:r>
    </w:p>
    <w:p>
      <w:pPr>
        <w:pStyle w:val="27"/>
        <w:numPr>
          <w:ilvl w:val="0"/>
          <w:numId w:val="4"/>
        </w:numPr>
        <w:spacing w:line="360" w:lineRule="auto"/>
        <w:ind w:left="709" w:hanging="290" w:firstLineChars="0"/>
        <w:rPr>
          <w:b/>
          <w:sz w:val="24"/>
          <w:szCs w:val="24"/>
        </w:rPr>
      </w:pPr>
      <w:r>
        <w:rPr>
          <w:b/>
          <w:sz w:val="24"/>
          <w:szCs w:val="24"/>
        </w:rPr>
        <w:t>化工产品生产技术</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sz w:val="24"/>
          <w:szCs w:val="24"/>
        </w:rPr>
      </w:pPr>
      <w:r>
        <w:rPr>
          <w:rFonts w:hint="eastAsia"/>
          <w:sz w:val="24"/>
          <w:szCs w:val="24"/>
        </w:rPr>
        <w:t>《化工生产技术》是应用化工技术专业的专业核心课程，通过该课程的学习，使学生熟悉化工生产的工作过程，掌握化工装置的总体运行操作技能，学会应用先进技术，承担化工生产一线的工艺操作与管理等工作，关心相关技术的发展应用动态，树立正确的科学观，以增加产品品种具有创新精神、创新能力、创业能力和实践能力，具有较强的社会适应能力和竞争能力的高技能人才。</w:t>
      </w:r>
    </w:p>
    <w:p>
      <w:pPr>
        <w:spacing w:line="360" w:lineRule="auto"/>
        <w:ind w:firstLine="424" w:firstLineChars="176"/>
        <w:rPr>
          <w:rFonts w:ascii="宋体" w:hAnsi="宋体"/>
          <w:b/>
          <w:sz w:val="24"/>
        </w:rPr>
      </w:pPr>
      <w:r>
        <w:rPr>
          <w:rFonts w:hint="eastAsia" w:ascii="宋体" w:hAnsi="宋体"/>
          <w:b/>
          <w:sz w:val="24"/>
        </w:rPr>
        <w:t>主要内容：</w:t>
      </w:r>
    </w:p>
    <w:p>
      <w:pPr>
        <w:pStyle w:val="27"/>
        <w:widowControl/>
        <w:spacing w:line="360" w:lineRule="auto"/>
        <w:ind w:firstLine="422" w:firstLineChars="176"/>
        <w:jc w:val="left"/>
        <w:rPr>
          <w:rFonts w:ascii="宋体" w:hAnsi="宋体" w:cs="宋体"/>
          <w:b/>
          <w:kern w:val="0"/>
          <w:sz w:val="24"/>
          <w:szCs w:val="24"/>
        </w:rPr>
      </w:pPr>
      <w:r>
        <w:rPr>
          <w:rFonts w:hint="eastAsia"/>
          <w:sz w:val="24"/>
          <w:szCs w:val="24"/>
        </w:rPr>
        <w:t>介绍甲醇、醋酸、合成氨、硫酸等典型化工生产过程、温度、压力、原料纯度及配比等生产影响因素及工艺控制指标，工艺流程组织，主要设备结构，开停车操作等。</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0" w:firstLineChars="175"/>
        <w:rPr>
          <w:sz w:val="24"/>
          <w:szCs w:val="24"/>
        </w:rPr>
      </w:pPr>
      <w:r>
        <w:rPr>
          <w:rFonts w:hint="eastAsia"/>
          <w:sz w:val="24"/>
          <w:szCs w:val="24"/>
        </w:rPr>
        <w:t>通过该课程的学习和典型生产工艺如甲醇、醋酸、合成氨、硫酸等仿真操作训练，使学生能根据生产操作规程进行开车、停车操作，能看懂化工工艺流程，控制工艺指标使生产正常运行，能对一些简单的故障进行分析判断和处理，培养学生运用所学知识进行分析和解决问题的能力。</w:t>
      </w:r>
    </w:p>
    <w:p>
      <w:pPr>
        <w:pStyle w:val="27"/>
        <w:numPr>
          <w:ilvl w:val="0"/>
          <w:numId w:val="4"/>
        </w:numPr>
        <w:spacing w:line="360" w:lineRule="auto"/>
        <w:ind w:left="709" w:hanging="290" w:firstLineChars="0"/>
        <w:rPr>
          <w:b/>
          <w:sz w:val="24"/>
          <w:szCs w:val="24"/>
        </w:rPr>
      </w:pPr>
      <w:r>
        <w:rPr>
          <w:b/>
          <w:sz w:val="24"/>
          <w:szCs w:val="24"/>
        </w:rPr>
        <w:t>精细化工生产技术</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cs="宋体" w:asciiTheme="minorEastAsia" w:hAnsiTheme="minorEastAsia"/>
          <w:kern w:val="0"/>
          <w:sz w:val="24"/>
          <w:szCs w:val="24"/>
        </w:rPr>
      </w:pPr>
      <w:r>
        <w:rPr>
          <w:rFonts w:asciiTheme="minorEastAsia" w:hAnsiTheme="minorEastAsia"/>
          <w:sz w:val="24"/>
          <w:szCs w:val="24"/>
        </w:rPr>
        <w:t>《精细化工生产技术》</w:t>
      </w:r>
      <w:r>
        <w:rPr>
          <w:rFonts w:hint="eastAsia" w:asciiTheme="minorEastAsia" w:hAnsiTheme="minorEastAsia"/>
          <w:sz w:val="24"/>
          <w:szCs w:val="24"/>
        </w:rPr>
        <w:t>是应用化工技术专业的一门</w:t>
      </w:r>
      <w:r>
        <w:rPr>
          <w:rFonts w:hint="eastAsia"/>
          <w:sz w:val="24"/>
          <w:szCs w:val="24"/>
        </w:rPr>
        <w:t>专业核心课程</w:t>
      </w:r>
      <w:r>
        <w:rPr>
          <w:rFonts w:hint="eastAsia" w:asciiTheme="minorEastAsia" w:hAnsiTheme="minorEastAsia"/>
          <w:sz w:val="24"/>
          <w:szCs w:val="24"/>
        </w:rPr>
        <w:t>，</w:t>
      </w:r>
      <w:r>
        <w:rPr>
          <w:rFonts w:hint="eastAsia" w:cs="宋体" w:asciiTheme="minorEastAsia" w:hAnsiTheme="minorEastAsia"/>
          <w:kern w:val="0"/>
          <w:sz w:val="24"/>
          <w:szCs w:val="24"/>
        </w:rPr>
        <w:t>通过该课程的学习，培养学生具备精细化学品生产操作要领、操作规程，化工行业岗位的专业基础知识能力；具备化工操作工作岗位上所必需的理论和实践知识，掌握精细化工生产操作技能，取得化学总控工职业资格证书。</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22" w:firstLineChars="176"/>
        <w:rPr>
          <w:rFonts w:cs="宋体" w:asciiTheme="minorEastAsia" w:hAnsiTheme="minorEastAsia"/>
          <w:kern w:val="0"/>
          <w:sz w:val="24"/>
          <w:szCs w:val="24"/>
          <w:lang w:eastAsia="zh-TW"/>
        </w:rPr>
      </w:pPr>
      <w:r>
        <w:rPr>
          <w:rFonts w:hint="eastAsia" w:asciiTheme="minorEastAsia" w:hAnsiTheme="minorEastAsia"/>
          <w:sz w:val="24"/>
          <w:szCs w:val="24"/>
        </w:rPr>
        <w:t>表面活性剂、涂料、水处理化学品、农药、黏合剂、食品添加剂等精细化学品的性能、分类、用途及生产方法，典型产品的反应原理、工艺过程、主要操作技术和产品用途等。</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rFonts w:cs="宋体" w:asciiTheme="minorEastAsia" w:hAnsiTheme="minorEastAsia"/>
          <w:kern w:val="0"/>
          <w:sz w:val="24"/>
          <w:szCs w:val="24"/>
        </w:rPr>
      </w:pPr>
      <w:r>
        <w:rPr>
          <w:rFonts w:hint="eastAsia" w:cs="宋体" w:asciiTheme="minorEastAsia" w:hAnsiTheme="minorEastAsia"/>
          <w:kern w:val="0"/>
          <w:sz w:val="24"/>
          <w:szCs w:val="24"/>
        </w:rPr>
        <w:t>通过</w:t>
      </w:r>
      <w:r>
        <w:rPr>
          <w:rFonts w:hint="eastAsia"/>
          <w:sz w:val="24"/>
        </w:rPr>
        <w:t>本课程的学习，</w:t>
      </w:r>
      <w:r>
        <w:rPr>
          <w:rFonts w:hint="eastAsia" w:cs="宋体" w:asciiTheme="minorEastAsia" w:hAnsiTheme="minorEastAsia"/>
          <w:kern w:val="0"/>
          <w:sz w:val="24"/>
          <w:szCs w:val="24"/>
        </w:rPr>
        <w:t>掌握典型产品的反应原理、各项工艺指标的制定标准和依据、操作参数对产品理化性质的影响、物料衡算知识及热量衡算知识、产品复配等。</w:t>
      </w:r>
    </w:p>
    <w:p>
      <w:pPr>
        <w:pStyle w:val="27"/>
        <w:numPr>
          <w:ilvl w:val="0"/>
          <w:numId w:val="4"/>
        </w:numPr>
        <w:spacing w:line="360" w:lineRule="auto"/>
        <w:ind w:left="709" w:hanging="290" w:firstLineChars="0"/>
        <w:rPr>
          <w:b/>
          <w:sz w:val="24"/>
          <w:szCs w:val="24"/>
        </w:rPr>
      </w:pPr>
      <w:r>
        <w:rPr>
          <w:b/>
          <w:sz w:val="24"/>
          <w:szCs w:val="24"/>
        </w:rPr>
        <w:t>硫酸生产技术</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w:t>
      </w:r>
      <w:r>
        <w:rPr>
          <w:rFonts w:cs="宋体" w:asciiTheme="minorEastAsia" w:hAnsiTheme="minorEastAsia"/>
          <w:kern w:val="0"/>
          <w:sz w:val="24"/>
          <w:szCs w:val="24"/>
        </w:rPr>
        <w:t>硫酸生产技术</w:t>
      </w:r>
      <w:r>
        <w:rPr>
          <w:rFonts w:hint="eastAsia" w:cs="宋体" w:asciiTheme="minorEastAsia" w:hAnsiTheme="minorEastAsia"/>
          <w:kern w:val="0"/>
          <w:sz w:val="24"/>
          <w:szCs w:val="24"/>
        </w:rPr>
        <w:t>》是应用化工技术专业开设的一门</w:t>
      </w:r>
      <w:r>
        <w:rPr>
          <w:rFonts w:hint="eastAsia"/>
          <w:sz w:val="24"/>
          <w:szCs w:val="24"/>
        </w:rPr>
        <w:t>专业核心课程</w:t>
      </w:r>
      <w:r>
        <w:rPr>
          <w:rFonts w:hint="eastAsia" w:cs="宋体" w:asciiTheme="minorEastAsia" w:hAnsiTheme="minorEastAsia"/>
          <w:kern w:val="0"/>
          <w:sz w:val="24"/>
          <w:szCs w:val="24"/>
        </w:rPr>
        <w:t>。由于地方经济支柱性产业之一是化工，而硫酸又是地方化工生产的主要产品，因此学习硫酸生产技术很有必要。通过该课程的学习，使学生了解硫酸的原料、产品理化特性，工艺生产过程组织，自动化控制，生产安全与环境治理综合利用等，对化工生产有进一步认识与理解。</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介绍了硫酸、硫氧化物的性质，硫酸发展概述，硫酸生产工艺简介，硫酸各生产过程即炉气制备、炉气净化、转化、干吸的生产目的、原理与方法、工艺流程组织、主要设备、生产操作与控制，硫酸生产安全技术，以及环境保护与综合利用。</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了解硫酸的用途与发展概况，熟悉硫酸的主要生产工艺，掌握硫酸及硫氧化物的主要性质。了解硫酸炉气的产生，烟气浓与气量波动特点及对制酸的影响。了解烟气净化操作，熟悉净化工艺流程及操作条件，掌握净化的目的与方法，净化主要设备及用途。了解烟气转化操作，熟悉转化工艺流程及操作条件，掌握转化的原理，转化催化剂，转化主要设备及用途。了解干燥与吸收操作，熟悉干燥与吸收工艺流程及操作条件，掌握干燥与吸收的原理，干燥与吸收主要设备及用途。了解硫酸生产中的危害因素及安全措施。了解烟气制酸生产中的废水处理原则与方法。</w:t>
      </w:r>
    </w:p>
    <w:p>
      <w:pPr>
        <w:pStyle w:val="27"/>
        <w:numPr>
          <w:ilvl w:val="0"/>
          <w:numId w:val="4"/>
        </w:numPr>
        <w:spacing w:line="360" w:lineRule="auto"/>
        <w:ind w:left="709" w:hanging="290" w:firstLineChars="0"/>
        <w:rPr>
          <w:b/>
          <w:sz w:val="24"/>
          <w:szCs w:val="24"/>
        </w:rPr>
      </w:pPr>
      <w:r>
        <w:rPr>
          <w:b/>
          <w:sz w:val="24"/>
          <w:szCs w:val="24"/>
        </w:rPr>
        <w:t>基础化学</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sz w:val="24"/>
          <w:szCs w:val="20"/>
        </w:rPr>
      </w:pPr>
      <w:r>
        <w:rPr>
          <w:rFonts w:hAnsi="宋体"/>
          <w:sz w:val="24"/>
          <w:szCs w:val="20"/>
        </w:rPr>
        <w:t>《基础化学》是高职应用化工技术重要的专业基础课，是学生在高中化学的基础上，进一步学习本专业必须的基础化学知识。</w:t>
      </w:r>
      <w:r>
        <w:rPr>
          <w:rFonts w:hAnsi="宋体"/>
          <w:sz w:val="24"/>
        </w:rPr>
        <w:t>本课程学习化学化工生产中的基本操作技术，通过课程教学，可使学生获得化学、化工生产中的基本理论及重要的操作技能。</w:t>
      </w:r>
      <w:r>
        <w:rPr>
          <w:rFonts w:hAnsi="宋体"/>
          <w:sz w:val="24"/>
          <w:szCs w:val="20"/>
        </w:rPr>
        <w:t>本课程的设计着眼于人的全面发展，即以培养全面素质为基础，以提高综合职业能力为核心。</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rFonts w:hAnsi="宋体"/>
          <w:sz w:val="24"/>
          <w:szCs w:val="20"/>
        </w:rPr>
      </w:pPr>
      <w:r>
        <w:rPr>
          <w:rFonts w:hAnsi="宋体"/>
          <w:sz w:val="24"/>
          <w:szCs w:val="20"/>
        </w:rPr>
        <w:t>气体与溶液，酸碱理论、弱酸弱碱离解平衡、同离子效应与缓冲溶液，沉淀平衡，物质结构基础知识，氧化还原平衡，配位平衡，金属与非金属，脂肪烃，环烃和杂环化合物，含卤和含氧有机化合物。</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hAnsi="宋体"/>
          <w:sz w:val="24"/>
          <w:szCs w:val="20"/>
        </w:rPr>
      </w:pPr>
      <w:r>
        <w:rPr>
          <w:rFonts w:hint="eastAsia" w:hAnsi="宋体"/>
          <w:sz w:val="24"/>
          <w:szCs w:val="20"/>
        </w:rPr>
        <w:t>了解气体的性质，稀溶液的依数性，掌握溶组成的表示法，理解酸碱反应实质、同离子效应及缓冲溶液各组成作用，理解溶度积常数含义，掌握基态原子核外电子分布，主族元素性质周期性变化规律，理解离子键、共价键和金属键的本质与特征，了解有机物的结构、特征及分类方法，掌握简单脂肪烃、苯、卤代烃、醇、酚、醚、羧酸基本化学性质。</w:t>
      </w:r>
    </w:p>
    <w:p>
      <w:pPr>
        <w:pStyle w:val="27"/>
        <w:numPr>
          <w:ilvl w:val="0"/>
          <w:numId w:val="4"/>
        </w:numPr>
        <w:spacing w:line="360" w:lineRule="auto"/>
        <w:ind w:left="709" w:hanging="290" w:firstLineChars="0"/>
        <w:rPr>
          <w:b/>
          <w:sz w:val="24"/>
          <w:szCs w:val="24"/>
        </w:rPr>
      </w:pPr>
      <w:r>
        <w:rPr>
          <w:rFonts w:hint="eastAsia"/>
          <w:b/>
          <w:sz w:val="24"/>
          <w:szCs w:val="24"/>
        </w:rPr>
        <w:t>化工制图</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sz w:val="24"/>
          <w:szCs w:val="24"/>
        </w:rPr>
      </w:pPr>
      <w:r>
        <w:rPr>
          <w:rFonts w:hint="eastAsia"/>
          <w:sz w:val="24"/>
          <w:szCs w:val="24"/>
        </w:rPr>
        <w:t>化工制图是应用化工技术专业必修的一门重要的专业基础课，也是一门重要的技能培训课程，</w:t>
      </w:r>
      <w:r>
        <w:rPr>
          <w:rFonts w:hint="eastAsia" w:ascii="宋体" w:hAnsi="宋体"/>
          <w:sz w:val="24"/>
          <w:szCs w:val="24"/>
        </w:rPr>
        <w:t>通过对国家制图标准的了解，</w:t>
      </w:r>
      <w:r>
        <w:rPr>
          <w:rFonts w:hint="eastAsia"/>
          <w:sz w:val="24"/>
          <w:szCs w:val="24"/>
        </w:rPr>
        <w:t>以培养学生的空间想象</w:t>
      </w:r>
      <w:r>
        <w:rPr>
          <w:rFonts w:hint="eastAsia" w:ascii="宋体" w:hAnsi="宋体"/>
          <w:sz w:val="24"/>
          <w:szCs w:val="24"/>
        </w:rPr>
        <w:t>与思维</w:t>
      </w:r>
      <w:r>
        <w:rPr>
          <w:rFonts w:hint="eastAsia"/>
          <w:sz w:val="24"/>
          <w:szCs w:val="24"/>
        </w:rPr>
        <w:t>能力、读图与绘图的实际操作能力，它不仅为后续课程作基础准备，而且也是衡量在今后的工作岗位上解决实际问题能力的重要尺度。</w:t>
      </w:r>
    </w:p>
    <w:p>
      <w:pPr>
        <w:spacing w:line="360" w:lineRule="auto"/>
        <w:ind w:firstLine="424" w:firstLineChars="176"/>
        <w:rPr>
          <w:rFonts w:ascii="宋体" w:hAnsi="宋体"/>
          <w:b/>
          <w:sz w:val="24"/>
        </w:rPr>
      </w:pPr>
      <w:r>
        <w:rPr>
          <w:rFonts w:hint="eastAsia" w:ascii="宋体" w:hAnsi="宋体"/>
          <w:b/>
          <w:sz w:val="24"/>
        </w:rPr>
        <w:t>主要内容：</w:t>
      </w:r>
    </w:p>
    <w:p>
      <w:pPr>
        <w:snapToGrid w:val="0"/>
        <w:spacing w:line="360" w:lineRule="auto"/>
        <w:ind w:firstLine="480" w:firstLineChars="200"/>
        <w:rPr>
          <w:sz w:val="24"/>
          <w:szCs w:val="24"/>
        </w:rPr>
      </w:pPr>
      <w:r>
        <w:rPr>
          <w:rFonts w:hint="eastAsia"/>
          <w:sz w:val="24"/>
          <w:szCs w:val="24"/>
        </w:rPr>
        <w:t>介绍了《技术制图》基本规定，几何作图，投影基本知识，点、线、面的投影，</w:t>
      </w:r>
      <w:r>
        <w:rPr>
          <w:rFonts w:hint="eastAsia" w:ascii="宋体" w:hAnsi="宋体"/>
          <w:sz w:val="24"/>
          <w:szCs w:val="24"/>
        </w:rPr>
        <w:t>投影展开体系制作，</w:t>
      </w:r>
      <w:r>
        <w:rPr>
          <w:rFonts w:hint="eastAsia"/>
          <w:sz w:val="24"/>
          <w:szCs w:val="24"/>
        </w:rPr>
        <w:t>平面立体投影，回转体投影，立体相交投影，组合体画法与阅读，轴测投影基本知识，正等轴测，视图，剖视图，断面图，其他表达方法，</w:t>
      </w:r>
      <w:r>
        <w:rPr>
          <w:rFonts w:hint="eastAsia"/>
          <w:bCs/>
          <w:iCs/>
          <w:sz w:val="24"/>
          <w:szCs w:val="24"/>
        </w:rPr>
        <w:t>螺纹及螺纹紧固件，化工设备图、化工工艺流程图、化工设备布置图、化工管道布置图的绘制与识读。</w:t>
      </w:r>
    </w:p>
    <w:p>
      <w:pPr>
        <w:spacing w:line="360" w:lineRule="auto"/>
        <w:ind w:firstLine="424" w:firstLineChars="176"/>
        <w:rPr>
          <w:rFonts w:ascii="宋体" w:hAnsi="宋体"/>
          <w:b/>
          <w:sz w:val="24"/>
        </w:rPr>
      </w:pPr>
      <w:r>
        <w:rPr>
          <w:rFonts w:hint="eastAsia" w:ascii="宋体" w:hAnsi="宋体"/>
          <w:b/>
          <w:sz w:val="24"/>
        </w:rPr>
        <w:t>教学要求：</w:t>
      </w:r>
    </w:p>
    <w:p>
      <w:pPr>
        <w:snapToGrid w:val="0"/>
        <w:spacing w:line="360" w:lineRule="auto"/>
        <w:ind w:firstLine="480" w:firstLineChars="200"/>
        <w:rPr>
          <w:sz w:val="24"/>
          <w:szCs w:val="24"/>
        </w:rPr>
      </w:pPr>
      <w:r>
        <w:rPr>
          <w:rFonts w:hint="eastAsia"/>
          <w:sz w:val="24"/>
          <w:szCs w:val="24"/>
        </w:rPr>
        <w:t>掌握图样的正确标注，理解斜度、锥度概念，求作点、直线、平面的三面投影，掌握棱柱、棱锥、圆柱、圆锥的投影特征，绘制简单的组合体投影图，并进行尺寸标注，掌握剖视图和断面图的绘制，螺纹标注，理解表面粗糙度、公差的含义，熟悉化工设备图的分类与表达，化工工艺流程图的表达。</w:t>
      </w:r>
    </w:p>
    <w:p>
      <w:pPr>
        <w:pStyle w:val="27"/>
        <w:numPr>
          <w:ilvl w:val="0"/>
          <w:numId w:val="4"/>
        </w:numPr>
        <w:spacing w:line="360" w:lineRule="auto"/>
        <w:ind w:left="709" w:hanging="290" w:firstLineChars="0"/>
        <w:rPr>
          <w:b/>
          <w:sz w:val="24"/>
          <w:szCs w:val="24"/>
        </w:rPr>
      </w:pPr>
      <w:r>
        <w:rPr>
          <w:rFonts w:hint="eastAsia"/>
          <w:b/>
          <w:sz w:val="24"/>
          <w:szCs w:val="24"/>
        </w:rPr>
        <w:t>A</w:t>
      </w:r>
      <w:r>
        <w:rPr>
          <w:b/>
          <w:sz w:val="24"/>
          <w:szCs w:val="24"/>
        </w:rPr>
        <w:t>utoCAD</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46" w:firstLineChars="186"/>
        <w:rPr>
          <w:rFonts w:ascii="宋体" w:hAnsi="宋体" w:cs="宋体"/>
          <w:kern w:val="0"/>
          <w:sz w:val="24"/>
          <w:szCs w:val="24"/>
        </w:rPr>
      </w:pPr>
      <w:r>
        <w:rPr>
          <w:rFonts w:hint="eastAsia" w:ascii="宋体" w:hAnsi="宋体" w:cs="宋体"/>
          <w:kern w:val="0"/>
          <w:sz w:val="24"/>
          <w:szCs w:val="24"/>
        </w:rPr>
        <w:t>《AutoCAD》是应用化工技术专业开设的一门</w:t>
      </w:r>
      <w:r>
        <w:rPr>
          <w:rFonts w:hint="eastAsia"/>
          <w:sz w:val="24"/>
          <w:szCs w:val="24"/>
        </w:rPr>
        <w:t>专业基础课</w:t>
      </w:r>
      <w:r>
        <w:rPr>
          <w:rFonts w:hint="eastAsia" w:ascii="宋体" w:hAnsi="宋体" w:cs="宋体"/>
          <w:kern w:val="0"/>
          <w:sz w:val="24"/>
          <w:szCs w:val="24"/>
        </w:rPr>
        <w:t>，是一门实践性较强的技术基础课，通过本课程的学习，掌握AutoCAD基本命令和灵活运用能力；培养空间想象能力和一定的分析与表达能力；培养使用计算机与AutoCAD软件绘制各类图样的能力；培养认真细致、一丝不苟的工作作风。</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22" w:firstLineChars="176"/>
        <w:rPr>
          <w:rFonts w:asciiTheme="minorEastAsia" w:hAnsiTheme="minorEastAsia"/>
          <w:sz w:val="24"/>
          <w:szCs w:val="24"/>
        </w:rPr>
      </w:pPr>
      <w:r>
        <w:rPr>
          <w:rFonts w:hint="eastAsia" w:asciiTheme="minorEastAsia" w:hAnsiTheme="minorEastAsia"/>
          <w:sz w:val="24"/>
          <w:szCs w:val="24"/>
        </w:rPr>
        <w:t>以AutoCAD在工程制图中的应用为主线，结合CAD高级绘图师的基本要求，根据行业企业发展需要、完成职业岗位实际工作任务所需要的知识、能力、素质要求和相应的职业资格标准，选取教学内容。主要的教学内容可分为CAD基础知识,绘图的基本设置，二维图形的绘制与编辑，二维图形的尺寸标注，块的创建与使用，三维模型创建模块。</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rFonts w:asciiTheme="minorEastAsia" w:hAnsiTheme="minorEastAsia"/>
          <w:sz w:val="24"/>
          <w:szCs w:val="24"/>
        </w:rPr>
      </w:pPr>
      <w:r>
        <w:rPr>
          <w:rFonts w:asciiTheme="minorEastAsia" w:hAnsiTheme="minorEastAsia"/>
          <w:sz w:val="24"/>
          <w:szCs w:val="24"/>
        </w:rPr>
        <w:t>熟悉AutoCAD绘图界面及系统操作，了解该软件的基本功能，掌握命令的输入方法，</w:t>
      </w:r>
      <w:r>
        <w:rPr>
          <w:rFonts w:hint="eastAsia" w:asciiTheme="minorEastAsia" w:hAnsiTheme="minorEastAsia"/>
          <w:sz w:val="24"/>
          <w:szCs w:val="24"/>
        </w:rPr>
        <w:t>掌握基本绘图命令和编辑命令的操作，学会文字与表格、图块的使用，对图形进行正确标注，能进行基本的二维图形和简单的三维图形绘制，绘制出符合行业规范的图纸并能在打印机或绘图仪出图。</w:t>
      </w:r>
    </w:p>
    <w:p>
      <w:pPr>
        <w:pStyle w:val="27"/>
        <w:numPr>
          <w:ilvl w:val="0"/>
          <w:numId w:val="4"/>
        </w:numPr>
        <w:spacing w:line="360" w:lineRule="auto"/>
        <w:ind w:left="709" w:hanging="290" w:firstLineChars="0"/>
        <w:rPr>
          <w:b/>
          <w:sz w:val="24"/>
          <w:szCs w:val="24"/>
        </w:rPr>
      </w:pPr>
      <w:r>
        <w:rPr>
          <w:b/>
          <w:sz w:val="24"/>
          <w:szCs w:val="24"/>
        </w:rPr>
        <w:t>化工设备基础</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525" w:firstLineChars="250"/>
        <w:rPr>
          <w:rFonts w:ascii="宋体" w:hAnsi="宋体"/>
          <w:szCs w:val="21"/>
        </w:rPr>
      </w:pPr>
      <w:r>
        <w:rPr>
          <w:rFonts w:hint="eastAsia" w:ascii="宋体" w:hAnsi="宋体"/>
          <w:szCs w:val="21"/>
        </w:rPr>
        <w:t>《化工设备基础》是应用化工技术专业的一门</w:t>
      </w:r>
      <w:r>
        <w:rPr>
          <w:rFonts w:hint="eastAsia"/>
          <w:sz w:val="24"/>
          <w:szCs w:val="24"/>
        </w:rPr>
        <w:t>专业基础课</w:t>
      </w:r>
      <w:r>
        <w:rPr>
          <w:rFonts w:hint="eastAsia" w:ascii="宋体" w:hAnsi="宋体"/>
          <w:szCs w:val="21"/>
        </w:rPr>
        <w:t>。本课程的任务是研究物体受力分析和强度计算的基础理论，介绍机械传动的基本知识，讨论化工容器设计的基本方法，它为从事化工工艺的技术人员提供必要的机械及化工容器方面的基础知识。化工设备基础课程是以市场需求为导向，以职业技术应用能力培养为主线，以适应培养应用型化工生产技术人才的需求而设置的，为学生后续顶岗实习与就业实习打下基础。</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525" w:firstLineChars="250"/>
        <w:rPr>
          <w:sz w:val="24"/>
        </w:rPr>
      </w:pPr>
      <w:r>
        <w:rPr>
          <w:rFonts w:ascii="宋体" w:hAnsi="宋体"/>
          <w:szCs w:val="21"/>
        </w:rPr>
        <w:t>化工生产对化工设备的基本要求</w:t>
      </w:r>
      <w:r>
        <w:rPr>
          <w:rFonts w:hint="eastAsia" w:ascii="宋体" w:hAnsi="宋体"/>
          <w:szCs w:val="21"/>
        </w:rPr>
        <w:t>，</w:t>
      </w:r>
      <w:r>
        <w:rPr>
          <w:rFonts w:ascii="宋体" w:hAnsi="宋体"/>
          <w:szCs w:val="21"/>
        </w:rPr>
        <w:t>化工容器结构与分类</w:t>
      </w:r>
      <w:r>
        <w:rPr>
          <w:rFonts w:hint="eastAsia" w:ascii="宋体" w:hAnsi="宋体"/>
          <w:szCs w:val="21"/>
        </w:rPr>
        <w:t>，</w:t>
      </w:r>
      <w:r>
        <w:rPr>
          <w:rFonts w:ascii="宋体" w:hAnsi="宋体"/>
          <w:szCs w:val="21"/>
        </w:rPr>
        <w:t>化工设备常用材料</w:t>
      </w:r>
      <w:r>
        <w:rPr>
          <w:rFonts w:hint="eastAsia" w:ascii="宋体" w:hAnsi="宋体"/>
          <w:szCs w:val="21"/>
        </w:rPr>
        <w:t>，</w:t>
      </w:r>
      <w:r>
        <w:rPr>
          <w:rFonts w:ascii="宋体" w:hAnsi="宋体"/>
          <w:szCs w:val="21"/>
        </w:rPr>
        <w:t>金属材料的腐蚀与防护</w:t>
      </w:r>
      <w:r>
        <w:rPr>
          <w:rFonts w:hint="eastAsia" w:ascii="宋体" w:hAnsi="宋体"/>
          <w:szCs w:val="21"/>
        </w:rPr>
        <w:t>；</w:t>
      </w:r>
      <w:r>
        <w:rPr>
          <w:rFonts w:hint="eastAsia"/>
          <w:szCs w:val="21"/>
        </w:rPr>
        <w:t>连接与传动，压力容器，塔设备，换热器，搅拌反应釜，</w:t>
      </w:r>
      <w:r>
        <w:rPr>
          <w:rFonts w:hint="eastAsia" w:ascii="宋体" w:hAnsi="宋体"/>
          <w:szCs w:val="21"/>
        </w:rPr>
        <w:t>压力管道概念、</w:t>
      </w:r>
      <w:r>
        <w:rPr>
          <w:rFonts w:ascii="宋体" w:hAnsi="宋体"/>
          <w:szCs w:val="21"/>
        </w:rPr>
        <w:t>管子常用材料</w:t>
      </w:r>
      <w:r>
        <w:rPr>
          <w:rFonts w:hint="eastAsia" w:ascii="宋体" w:hAnsi="宋体"/>
          <w:szCs w:val="21"/>
        </w:rPr>
        <w:t>、</w:t>
      </w:r>
      <w:r>
        <w:rPr>
          <w:rFonts w:ascii="宋体" w:hAnsi="宋体"/>
          <w:szCs w:val="21"/>
        </w:rPr>
        <w:t>管件与阀门</w:t>
      </w:r>
      <w:r>
        <w:rPr>
          <w:rFonts w:hint="eastAsia" w:ascii="宋体" w:hAnsi="宋体"/>
          <w:szCs w:val="21"/>
        </w:rPr>
        <w:t>、</w:t>
      </w:r>
      <w:r>
        <w:rPr>
          <w:rFonts w:ascii="宋体" w:hAnsi="宋体"/>
          <w:szCs w:val="21"/>
        </w:rPr>
        <w:t>管路的连接</w:t>
      </w:r>
      <w:r>
        <w:rPr>
          <w:rFonts w:hint="eastAsia" w:ascii="宋体" w:hAnsi="宋体"/>
          <w:szCs w:val="21"/>
        </w:rPr>
        <w:t>、</w:t>
      </w:r>
      <w:r>
        <w:rPr>
          <w:rFonts w:ascii="宋体" w:hAnsi="宋体"/>
          <w:szCs w:val="21"/>
        </w:rPr>
        <w:t>管路常见故障及排除方法</w:t>
      </w:r>
      <w:r>
        <w:rPr>
          <w:rFonts w:hint="eastAsia" w:ascii="宋体" w:hAnsi="宋体"/>
          <w:szCs w:val="21"/>
        </w:rPr>
        <w:t>，</w:t>
      </w:r>
      <w:r>
        <w:rPr>
          <w:rFonts w:hint="eastAsia"/>
          <w:szCs w:val="21"/>
        </w:rPr>
        <w:t>化工设备常用故障诊断技术与</w:t>
      </w:r>
      <w:r>
        <w:rPr>
          <w:rFonts w:hint="eastAsia" w:ascii="宋体" w:hAnsi="宋体"/>
          <w:szCs w:val="21"/>
        </w:rPr>
        <w:t>化工设备故障诊断。</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600" w:firstLineChars="250"/>
        <w:rPr>
          <w:sz w:val="24"/>
        </w:rPr>
      </w:pPr>
      <w:r>
        <w:rPr>
          <w:rFonts w:hint="eastAsia"/>
          <w:sz w:val="24"/>
        </w:rPr>
        <w:t>通过本课程的学习，使学生能根据给定的条件和工艺要求选择设备类型；能进行压力容器设备的初步工艺计算；能正确选择化工设备材料，能合理选择传动方式，能根据具体工艺选择填料类型，能根据具体要求选择合适的换热器，能正确选用管子材料、管路连接方式，能分析和处理操作反应器过程中出现的常见故障。</w:t>
      </w:r>
    </w:p>
    <w:p>
      <w:pPr>
        <w:pStyle w:val="27"/>
        <w:numPr>
          <w:ilvl w:val="0"/>
          <w:numId w:val="4"/>
        </w:numPr>
        <w:spacing w:line="360" w:lineRule="auto"/>
        <w:ind w:left="709" w:hanging="290" w:firstLineChars="0"/>
        <w:rPr>
          <w:b/>
          <w:sz w:val="24"/>
          <w:szCs w:val="24"/>
        </w:rPr>
      </w:pPr>
      <w:r>
        <w:rPr>
          <w:b/>
          <w:sz w:val="24"/>
          <w:szCs w:val="24"/>
        </w:rPr>
        <w:t>环保概论</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jc w:val="left"/>
        <w:rPr>
          <w:sz w:val="24"/>
          <w:szCs w:val="24"/>
        </w:rPr>
      </w:pPr>
      <w:r>
        <w:rPr>
          <w:rFonts w:hint="eastAsia" w:cs="宋体"/>
          <w:kern w:val="0"/>
          <w:sz w:val="24"/>
          <w:szCs w:val="24"/>
        </w:rPr>
        <w:t xml:space="preserve"> </w:t>
      </w:r>
      <w:r>
        <w:rPr>
          <w:sz w:val="24"/>
          <w:szCs w:val="24"/>
        </w:rPr>
        <w:t>《环保概论》</w:t>
      </w:r>
      <w:r>
        <w:rPr>
          <w:rFonts w:hint="eastAsia" w:cs="宋体"/>
          <w:kern w:val="0"/>
          <w:sz w:val="24"/>
          <w:szCs w:val="24"/>
        </w:rPr>
        <w:t>高职应用化工专业的一门专业必修课程，通过课程的学习，了解环境污染现状，当前人娄面临的环境问题，水资源及水污染治理技术，大气污染治理技术，噪声污染治理技术，环境标准、环境影响评价及工业清洁生产的一般方法，能够培养学生将环境保护理念贯穿到生活和今后的工作中。</w:t>
      </w:r>
    </w:p>
    <w:p>
      <w:pPr>
        <w:spacing w:line="360" w:lineRule="auto"/>
        <w:ind w:firstLine="424" w:firstLineChars="176"/>
        <w:rPr>
          <w:rFonts w:ascii="宋体" w:hAnsi="宋体"/>
          <w:b/>
          <w:sz w:val="24"/>
        </w:rPr>
      </w:pPr>
      <w:r>
        <w:rPr>
          <w:rFonts w:hint="eastAsia" w:ascii="宋体" w:hAnsi="宋体"/>
          <w:b/>
          <w:sz w:val="24"/>
        </w:rPr>
        <w:t>主要内容：</w:t>
      </w:r>
    </w:p>
    <w:p>
      <w:pPr>
        <w:tabs>
          <w:tab w:val="left" w:pos="2820"/>
        </w:tabs>
        <w:autoSpaceDE w:val="0"/>
        <w:autoSpaceDN w:val="0"/>
        <w:adjustRightInd w:val="0"/>
        <w:snapToGrid w:val="0"/>
        <w:spacing w:line="360" w:lineRule="auto"/>
        <w:ind w:firstLine="480" w:firstLineChars="200"/>
        <w:jc w:val="left"/>
        <w:rPr>
          <w:rFonts w:cs="宋体"/>
          <w:kern w:val="0"/>
          <w:sz w:val="24"/>
          <w:szCs w:val="24"/>
        </w:rPr>
      </w:pPr>
      <w:r>
        <w:rPr>
          <w:rFonts w:hint="eastAsia" w:cs="宋体"/>
          <w:kern w:val="0"/>
          <w:sz w:val="24"/>
          <w:szCs w:val="24"/>
        </w:rPr>
        <w:t xml:space="preserve"> </w:t>
      </w:r>
      <w:r>
        <w:rPr>
          <w:rFonts w:hint="eastAsia"/>
          <w:sz w:val="24"/>
          <w:szCs w:val="24"/>
        </w:rPr>
        <w:t>介绍</w:t>
      </w:r>
      <w:r>
        <w:rPr>
          <w:rFonts w:hint="eastAsia" w:cs="宋体"/>
          <w:kern w:val="0"/>
          <w:sz w:val="24"/>
          <w:szCs w:val="24"/>
        </w:rPr>
        <w:t>环境、生态平衡、资源与环境等基础知识，“三废”污染治理技术，环境管理，未来发展。</w:t>
      </w:r>
    </w:p>
    <w:p>
      <w:pPr>
        <w:spacing w:line="360" w:lineRule="auto"/>
        <w:ind w:firstLine="482" w:firstLineChars="200"/>
        <w:jc w:val="left"/>
        <w:rPr>
          <w:rFonts w:ascii="宋体" w:hAnsi="宋体"/>
          <w:b/>
          <w:sz w:val="24"/>
        </w:rPr>
      </w:pPr>
      <w:r>
        <w:rPr>
          <w:rFonts w:hint="eastAsia" w:ascii="宋体" w:hAnsi="宋体"/>
          <w:b/>
          <w:sz w:val="24"/>
        </w:rPr>
        <w:t>教学要求：</w:t>
      </w:r>
    </w:p>
    <w:p>
      <w:pPr>
        <w:spacing w:line="360" w:lineRule="auto"/>
        <w:ind w:firstLine="480" w:firstLineChars="200"/>
        <w:jc w:val="left"/>
        <w:rPr>
          <w:sz w:val="24"/>
          <w:szCs w:val="24"/>
        </w:rPr>
      </w:pPr>
      <w:r>
        <w:rPr>
          <w:rFonts w:hint="eastAsia"/>
          <w:sz w:val="24"/>
          <w:szCs w:val="24"/>
        </w:rPr>
        <w:t>通过本课程学习，理解环境和环境科学基本概念，理解资源与环境关系，掌握水污染控制原则，理解</w:t>
      </w:r>
      <w:r>
        <w:rPr>
          <w:rFonts w:hint="eastAsia" w:cs="宋体"/>
          <w:kern w:val="0"/>
          <w:sz w:val="24"/>
          <w:szCs w:val="24"/>
        </w:rPr>
        <w:t>“三废”</w:t>
      </w:r>
      <w:r>
        <w:rPr>
          <w:rFonts w:hint="eastAsia"/>
          <w:sz w:val="24"/>
          <w:szCs w:val="24"/>
        </w:rPr>
        <w:t>发生机制与综合防治技术，掌握我国环境管理制度和法规体系，掌握环境监测一般方法，理解环境质量评价和环境影响评价工作过程，理解可持续发展的定义，绿色技术的分类和一般方法。</w:t>
      </w:r>
    </w:p>
    <w:p>
      <w:pPr>
        <w:pStyle w:val="27"/>
        <w:numPr>
          <w:ilvl w:val="0"/>
          <w:numId w:val="4"/>
        </w:numPr>
        <w:spacing w:line="360" w:lineRule="auto"/>
        <w:ind w:left="709" w:hanging="290" w:firstLineChars="0"/>
        <w:rPr>
          <w:b/>
          <w:sz w:val="24"/>
          <w:szCs w:val="24"/>
        </w:rPr>
      </w:pPr>
      <w:r>
        <w:rPr>
          <w:b/>
          <w:sz w:val="24"/>
          <w:szCs w:val="24"/>
        </w:rPr>
        <w:t>化工企业管理与技术经济</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jc w:val="left"/>
        <w:rPr>
          <w:rFonts w:cs="宋体"/>
          <w:kern w:val="0"/>
          <w:sz w:val="24"/>
          <w:szCs w:val="24"/>
        </w:rPr>
      </w:pPr>
      <w:r>
        <w:rPr>
          <w:sz w:val="24"/>
          <w:szCs w:val="24"/>
        </w:rPr>
        <w:t>《化工企业管理与技术经济》</w:t>
      </w:r>
      <w:r>
        <w:rPr>
          <w:rFonts w:hint="eastAsia" w:cs="宋体"/>
          <w:kern w:val="0"/>
          <w:sz w:val="24"/>
          <w:szCs w:val="24"/>
        </w:rPr>
        <w:t>是高职应用化工专业必修课程。工程技术专业的毕业生仅掌握技术是不够的，他们在实际工作中，要遇到许多企业管理与技术经济问题，本课程可使学生懂得什么是市场，什么是竞争，什么是成本，如何进行经济核算，如何运用企业管理方法实现技术方案的最优化。</w:t>
      </w:r>
    </w:p>
    <w:p>
      <w:pPr>
        <w:spacing w:line="360" w:lineRule="auto"/>
        <w:ind w:firstLine="424" w:firstLineChars="176"/>
        <w:rPr>
          <w:rFonts w:ascii="宋体" w:hAnsi="宋体"/>
          <w:b/>
          <w:sz w:val="24"/>
        </w:rPr>
      </w:pPr>
      <w:r>
        <w:rPr>
          <w:rFonts w:hint="eastAsia" w:ascii="宋体" w:hAnsi="宋体"/>
          <w:b/>
          <w:sz w:val="24"/>
        </w:rPr>
        <w:t>主要内容：</w:t>
      </w:r>
    </w:p>
    <w:p>
      <w:pPr>
        <w:tabs>
          <w:tab w:val="left" w:pos="2820"/>
        </w:tabs>
        <w:autoSpaceDE w:val="0"/>
        <w:autoSpaceDN w:val="0"/>
        <w:adjustRightInd w:val="0"/>
        <w:snapToGrid w:val="0"/>
        <w:spacing w:line="360" w:lineRule="auto"/>
        <w:ind w:firstLine="480" w:firstLineChars="200"/>
        <w:jc w:val="left"/>
        <w:rPr>
          <w:rFonts w:cs="宋体"/>
          <w:kern w:val="0"/>
          <w:sz w:val="24"/>
          <w:szCs w:val="24"/>
        </w:rPr>
      </w:pPr>
      <w:r>
        <w:rPr>
          <w:rFonts w:hint="eastAsia" w:cs="宋体"/>
          <w:kern w:val="0"/>
          <w:sz w:val="24"/>
          <w:szCs w:val="24"/>
        </w:rPr>
        <w:t>本课程介绍了企业管理的基本概念及日常管理的内容及方法（包括生产管理、设备管理、技术管理、质量管理），市场经济条件下的市场营销相关理论和实用方法，以及技术经济分析的基本原理和工程项目经济评价的具体方法，并引入了本领域内的新内容、新提法、新进展。</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cs="宋体"/>
          <w:kern w:val="0"/>
          <w:sz w:val="24"/>
          <w:szCs w:val="24"/>
        </w:rPr>
      </w:pPr>
      <w:r>
        <w:rPr>
          <w:rFonts w:hint="eastAsia"/>
          <w:sz w:val="24"/>
          <w:szCs w:val="24"/>
        </w:rPr>
        <w:t>通过对基础理论和基本知识的学习，初步掌握企业管理的基本理论和知识，掌握化工企业的生产管理、设备管理、技术开发管理、质量管理的内容和方法，市场营销技巧；掌握工程项目的评价方法、多方案的可比方法，会读财务报表及简单的分析，</w:t>
      </w:r>
      <w:r>
        <w:rPr>
          <w:rFonts w:hint="eastAsia" w:cs="宋体"/>
          <w:kern w:val="0"/>
          <w:sz w:val="24"/>
          <w:szCs w:val="24"/>
        </w:rPr>
        <w:t>熟悉投资项目可行性研究的基本方法。</w:t>
      </w:r>
    </w:p>
    <w:p>
      <w:pPr>
        <w:spacing w:line="360" w:lineRule="auto"/>
        <w:ind w:firstLine="422" w:firstLineChars="200"/>
        <w:rPr>
          <w:b/>
          <w:sz w:val="24"/>
          <w:szCs w:val="24"/>
        </w:rPr>
      </w:pPr>
      <w:r>
        <w:rPr>
          <w:rFonts w:hint="eastAsia" w:ascii="宋体" w:hAnsi="宋体" w:cs="宋体"/>
          <w:b/>
          <w:kern w:val="0"/>
          <w:szCs w:val="21"/>
        </w:rPr>
        <w:t>15.</w:t>
      </w:r>
      <w:r>
        <w:rPr>
          <w:rFonts w:ascii="宋体" w:hAnsi="宋体" w:cs="宋体"/>
          <w:b/>
          <w:kern w:val="0"/>
          <w:szCs w:val="21"/>
        </w:rPr>
        <w:t>化学检验技能实训</w:t>
      </w:r>
    </w:p>
    <w:p>
      <w:pPr>
        <w:ind w:firstLine="482" w:firstLineChars="200"/>
        <w:rPr>
          <w:rFonts w:ascii="宋体" w:hAnsi="宋体"/>
          <w:b/>
          <w:sz w:val="24"/>
        </w:rPr>
      </w:pPr>
      <w:r>
        <w:rPr>
          <w:rFonts w:hint="eastAsia" w:ascii="宋体" w:hAnsi="宋体"/>
          <w:b/>
          <w:sz w:val="24"/>
        </w:rPr>
        <w:t>课程目标：</w:t>
      </w:r>
    </w:p>
    <w:p>
      <w:pPr>
        <w:spacing w:line="360" w:lineRule="auto"/>
        <w:ind w:firstLine="480" w:firstLineChars="200"/>
        <w:rPr>
          <w:sz w:val="24"/>
          <w:szCs w:val="24"/>
        </w:rPr>
      </w:pPr>
      <w:r>
        <w:rPr>
          <w:rFonts w:hint="eastAsia"/>
          <w:sz w:val="24"/>
          <w:szCs w:val="24"/>
        </w:rPr>
        <w:t>《化学检验工技能实训》是化工类专业学生必修的的一门专业技能课。是应用化学分析、仪器分析的基本理论和分析手段，鉴定物质的组成，测定物质各组成成分含量的一项技术。它是保证材料及产品质量的重要手段，对产品质量既有控制和监督作用，又有指导作用，并可为新产品的开发、新工艺的研究提供依据。化学检测是现代工业生产、科学研究及环境保护等的重要环节。</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5"/>
        </w:numPr>
        <w:spacing w:line="360" w:lineRule="auto"/>
        <w:ind w:firstLineChars="0"/>
        <w:rPr>
          <w:sz w:val="24"/>
          <w:szCs w:val="24"/>
        </w:rPr>
      </w:pPr>
      <w:r>
        <w:rPr>
          <w:rFonts w:hint="eastAsia"/>
          <w:sz w:val="24"/>
          <w:szCs w:val="24"/>
        </w:rPr>
        <w:t xml:space="preserve">含铁溶液中铁含量的测定   </w:t>
      </w:r>
    </w:p>
    <w:p>
      <w:pPr>
        <w:pStyle w:val="27"/>
        <w:numPr>
          <w:ilvl w:val="0"/>
          <w:numId w:val="5"/>
        </w:numPr>
        <w:spacing w:line="360" w:lineRule="auto"/>
        <w:ind w:firstLineChars="0"/>
        <w:rPr>
          <w:sz w:val="24"/>
          <w:szCs w:val="24"/>
        </w:rPr>
      </w:pPr>
      <w:r>
        <w:rPr>
          <w:rFonts w:hint="eastAsia"/>
          <w:sz w:val="24"/>
          <w:szCs w:val="24"/>
        </w:rPr>
        <w:t>硫代硫酸钠标准滴定溶液的标定</w:t>
      </w:r>
    </w:p>
    <w:p>
      <w:pPr>
        <w:pStyle w:val="27"/>
        <w:numPr>
          <w:ilvl w:val="0"/>
          <w:numId w:val="5"/>
        </w:numPr>
        <w:spacing w:line="360" w:lineRule="auto"/>
        <w:ind w:firstLineChars="0"/>
        <w:rPr>
          <w:sz w:val="24"/>
          <w:szCs w:val="24"/>
        </w:rPr>
      </w:pPr>
      <w:r>
        <w:rPr>
          <w:rFonts w:hint="eastAsia"/>
          <w:sz w:val="24"/>
          <w:szCs w:val="24"/>
        </w:rPr>
        <w:t>含铜溶液中铜的测定</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sz w:val="24"/>
          <w:szCs w:val="24"/>
        </w:rPr>
      </w:pPr>
      <w:r>
        <w:rPr>
          <w:rFonts w:hint="eastAsia"/>
          <w:sz w:val="24"/>
          <w:szCs w:val="24"/>
        </w:rPr>
        <w:t>通过该教学环节训练，使学生熟悉实验室管理规程，掌握实验室常用器具的基本操作，化学检验基本操作方法与操作技能，具备中级化学检验工实操的技能。</w:t>
      </w:r>
    </w:p>
    <w:p>
      <w:pPr>
        <w:spacing w:line="360" w:lineRule="auto"/>
        <w:ind w:firstLine="422" w:firstLineChars="200"/>
        <w:rPr>
          <w:b/>
          <w:sz w:val="24"/>
          <w:szCs w:val="24"/>
        </w:rPr>
      </w:pPr>
      <w:r>
        <w:rPr>
          <w:rFonts w:hint="eastAsia" w:ascii="宋体" w:hAnsi="宋体" w:cs="宋体"/>
          <w:b/>
          <w:kern w:val="0"/>
          <w:szCs w:val="21"/>
        </w:rPr>
        <w:t>16.</w:t>
      </w:r>
      <w:r>
        <w:rPr>
          <w:rFonts w:ascii="宋体" w:hAnsi="宋体" w:cs="宋体"/>
          <w:b/>
          <w:kern w:val="0"/>
          <w:szCs w:val="21"/>
        </w:rPr>
        <w:t>化工制图与CAD实训</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jc w:val="left"/>
        <w:rPr>
          <w:sz w:val="24"/>
          <w:szCs w:val="24"/>
        </w:rPr>
      </w:pPr>
      <w:r>
        <w:rPr>
          <w:sz w:val="24"/>
          <w:szCs w:val="24"/>
        </w:rPr>
        <w:t>《</w:t>
      </w:r>
      <w:r>
        <w:rPr>
          <w:rFonts w:ascii="宋体" w:hAnsi="宋体" w:cs="宋体"/>
          <w:kern w:val="0"/>
          <w:szCs w:val="21"/>
        </w:rPr>
        <w:t>化工制图与CAD实训</w:t>
      </w:r>
      <w:r>
        <w:rPr>
          <w:sz w:val="24"/>
          <w:szCs w:val="24"/>
        </w:rPr>
        <w:t>》</w:t>
      </w:r>
      <w:r>
        <w:rPr>
          <w:rFonts w:hint="eastAsia"/>
          <w:sz w:val="24"/>
          <w:szCs w:val="24"/>
        </w:rPr>
        <w:t>化工类专业学生必修的的一门专业技能课。现代化工生产操作，多是在中控室完成的自动化程度很高的DCS控制，控制界面是生产工艺流程图，要能很好完成操作，需要知道现场装置与控制界面的对应联系，本实训课程是为适应中控室操作人才（或称总控工）的要求而开设的一门课程，是在学生完成化工制图和A</w:t>
      </w:r>
      <w:r>
        <w:rPr>
          <w:sz w:val="24"/>
          <w:szCs w:val="24"/>
        </w:rPr>
        <w:t>utoCAD学习</w:t>
      </w:r>
      <w:r>
        <w:rPr>
          <w:rFonts w:hint="eastAsia"/>
          <w:sz w:val="24"/>
          <w:szCs w:val="24"/>
        </w:rPr>
        <w:t>的基础上进行训练，旨在加强学生对工程装置实物图与流程图的对应关系认识，培养和提高学生用识读和绘制化工专业图的能力，同时为后序专业学习打下基础。</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化工工艺流程图的绘制</w:t>
      </w:r>
    </w:p>
    <w:p>
      <w:pPr>
        <w:pStyle w:val="27"/>
        <w:numPr>
          <w:ilvl w:val="0"/>
          <w:numId w:val="6"/>
        </w:numPr>
        <w:spacing w:line="360" w:lineRule="auto"/>
        <w:ind w:firstLineChars="0"/>
        <w:rPr>
          <w:rFonts w:ascii="宋体" w:hAnsi="宋体"/>
          <w:sz w:val="24"/>
        </w:rPr>
      </w:pPr>
      <w:r>
        <w:rPr>
          <w:rFonts w:hint="eastAsia" w:ascii="ˎ̥" w:hAnsi="ˎ̥" w:cs="宋体"/>
          <w:kern w:val="0"/>
          <w:sz w:val="24"/>
        </w:rPr>
        <w:t>化工设备布置图的绘制</w:t>
      </w:r>
    </w:p>
    <w:p>
      <w:pPr>
        <w:tabs>
          <w:tab w:val="left" w:pos="2820"/>
        </w:tabs>
        <w:autoSpaceDE w:val="0"/>
        <w:autoSpaceDN w:val="0"/>
        <w:adjustRightInd w:val="0"/>
        <w:snapToGrid w:val="0"/>
        <w:spacing w:line="360" w:lineRule="auto"/>
        <w:ind w:firstLine="482" w:firstLineChars="200"/>
        <w:jc w:val="left"/>
        <w:rPr>
          <w:rFonts w:ascii="宋体" w:hAnsi="宋体"/>
          <w:b/>
          <w:sz w:val="24"/>
        </w:rPr>
      </w:pPr>
      <w:r>
        <w:rPr>
          <w:rFonts w:hint="eastAsia" w:ascii="宋体" w:hAnsi="宋体"/>
          <w:b/>
          <w:sz w:val="24"/>
        </w:rPr>
        <w:t>教学要求：</w:t>
      </w:r>
    </w:p>
    <w:p>
      <w:pPr>
        <w:widowControl/>
        <w:spacing w:line="400" w:lineRule="exact"/>
        <w:ind w:firstLine="424" w:firstLineChars="177"/>
        <w:jc w:val="left"/>
        <w:rPr>
          <w:rFonts w:hint="eastAsia" w:ascii="ˎ̥" w:hAnsi="ˎ̥" w:cs="宋体"/>
          <w:kern w:val="0"/>
          <w:szCs w:val="21"/>
        </w:rPr>
      </w:pPr>
      <w:r>
        <w:rPr>
          <w:rFonts w:hint="eastAsia"/>
          <w:sz w:val="24"/>
          <w:szCs w:val="24"/>
        </w:rPr>
        <w:t>通过该教学环节训练，要求学生掌握化工装置的带控制点流程图和设备布置的表达内容与绘制方法，提高现场手绘能力和测绘能力，进一步熟悉绘图软件A</w:t>
      </w:r>
      <w:r>
        <w:rPr>
          <w:sz w:val="24"/>
          <w:szCs w:val="24"/>
        </w:rPr>
        <w:t>uto</w:t>
      </w:r>
      <w:r>
        <w:rPr>
          <w:rFonts w:hint="eastAsia"/>
          <w:sz w:val="24"/>
          <w:szCs w:val="24"/>
        </w:rPr>
        <w:t>CAD，提高计算机绘图能力，熟悉打印输出过程。</w:t>
      </w:r>
    </w:p>
    <w:p>
      <w:pPr>
        <w:spacing w:line="360" w:lineRule="auto"/>
        <w:ind w:firstLine="422" w:firstLineChars="200"/>
        <w:rPr>
          <w:b/>
          <w:sz w:val="24"/>
          <w:szCs w:val="24"/>
        </w:rPr>
      </w:pPr>
      <w:r>
        <w:rPr>
          <w:rFonts w:hint="eastAsia" w:ascii="宋体" w:hAnsi="宋体" w:cs="宋体"/>
          <w:b/>
          <w:kern w:val="0"/>
          <w:szCs w:val="21"/>
        </w:rPr>
        <w:t>17.化工单元操作实训</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4" w:firstLineChars="177"/>
        <w:rPr>
          <w:rFonts w:ascii="宋体" w:hAnsi="宋体"/>
          <w:sz w:val="24"/>
          <w:szCs w:val="24"/>
        </w:rPr>
      </w:pPr>
      <w:r>
        <w:rPr>
          <w:sz w:val="24"/>
          <w:szCs w:val="24"/>
        </w:rPr>
        <w:t>《</w:t>
      </w:r>
      <w:r>
        <w:rPr>
          <w:rFonts w:hint="eastAsia"/>
          <w:sz w:val="24"/>
          <w:szCs w:val="24"/>
        </w:rPr>
        <w:t>化工单元操作实训</w:t>
      </w:r>
      <w:r>
        <w:rPr>
          <w:sz w:val="24"/>
          <w:szCs w:val="24"/>
        </w:rPr>
        <w:t>》</w:t>
      </w:r>
      <w:r>
        <w:rPr>
          <w:rFonts w:hint="eastAsia"/>
          <w:sz w:val="24"/>
          <w:szCs w:val="24"/>
        </w:rPr>
        <w:t>化工类专业学生必修的的一门专业技能课，该教学环节是在学生完成专业核心课程《化工单元操作》学习的基础上进行的训练，旨在加强学生</w:t>
      </w:r>
      <w:r>
        <w:rPr>
          <w:rFonts w:hint="eastAsia" w:ascii="宋体" w:hAnsi="宋体"/>
          <w:sz w:val="24"/>
          <w:szCs w:val="24"/>
        </w:rPr>
        <w:t>理解和巩固化工单元操作理论知识，了解和理解一些典型化工设备的管理与操作，学习如何通过实训获取知识和信息，学会正确记录、处理与表达实训结果，规范书写实训实训报告，培养发现问题、分析问题和解决问题的能力，培养科学的思维方法、科学态度和科学作风，提高综合素质，在实训实训中开阔眼界，培养创新意识。</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管路拆装实训</w:t>
      </w:r>
    </w:p>
    <w:p>
      <w:pPr>
        <w:pStyle w:val="27"/>
        <w:numPr>
          <w:ilvl w:val="0"/>
          <w:numId w:val="6"/>
        </w:numPr>
        <w:spacing w:line="360" w:lineRule="auto"/>
        <w:ind w:firstLineChars="0"/>
        <w:rPr>
          <w:sz w:val="24"/>
          <w:szCs w:val="24"/>
        </w:rPr>
      </w:pPr>
      <w:r>
        <w:rPr>
          <w:sz w:val="24"/>
          <w:szCs w:val="24"/>
        </w:rPr>
        <w:t>流体综合输送操作实训</w:t>
      </w:r>
    </w:p>
    <w:p>
      <w:pPr>
        <w:pStyle w:val="27"/>
        <w:numPr>
          <w:ilvl w:val="0"/>
          <w:numId w:val="6"/>
        </w:numPr>
        <w:spacing w:line="360" w:lineRule="auto"/>
        <w:ind w:firstLineChars="0"/>
        <w:rPr>
          <w:sz w:val="24"/>
          <w:szCs w:val="24"/>
        </w:rPr>
      </w:pPr>
      <w:r>
        <w:rPr>
          <w:rFonts w:hint="eastAsia"/>
          <w:sz w:val="24"/>
          <w:szCs w:val="24"/>
        </w:rPr>
        <w:t>过滤操作实训</w:t>
      </w:r>
    </w:p>
    <w:p>
      <w:pPr>
        <w:pStyle w:val="27"/>
        <w:numPr>
          <w:ilvl w:val="0"/>
          <w:numId w:val="6"/>
        </w:numPr>
        <w:spacing w:line="360" w:lineRule="auto"/>
        <w:ind w:firstLineChars="0"/>
        <w:rPr>
          <w:sz w:val="24"/>
          <w:szCs w:val="24"/>
        </w:rPr>
      </w:pPr>
      <w:r>
        <w:rPr>
          <w:rFonts w:hint="eastAsia"/>
          <w:sz w:val="24"/>
          <w:szCs w:val="24"/>
        </w:rPr>
        <w:t>精馏操作实训</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4" w:firstLineChars="177"/>
        <w:rPr>
          <w:sz w:val="24"/>
          <w:szCs w:val="24"/>
        </w:rPr>
      </w:pPr>
      <w:r>
        <w:rPr>
          <w:rFonts w:hint="eastAsia"/>
          <w:sz w:val="24"/>
          <w:szCs w:val="24"/>
        </w:rPr>
        <w:t>通过该教学环节训练，使学生熟识化工工艺管道路线，认知管路拆装装置中的管道、管件、阀门、连接件等，能进行简单管路拆装和管道的试漏，熟悉流体四种输送方式，掌握离心泵的操作与运行，熟悉过滤设备的构造和操作过程，掌握过滤操作影响因素。了解精馏塔的基本结构，掌握连续精馏塔的操作方法与步骤，理解回流比对精馏塔操作的影响。</w:t>
      </w:r>
    </w:p>
    <w:p>
      <w:pPr>
        <w:spacing w:line="360" w:lineRule="auto"/>
        <w:ind w:firstLine="422" w:firstLineChars="200"/>
        <w:rPr>
          <w:b/>
          <w:sz w:val="24"/>
          <w:szCs w:val="24"/>
        </w:rPr>
      </w:pPr>
      <w:r>
        <w:rPr>
          <w:rFonts w:hint="eastAsia" w:ascii="宋体" w:hAnsi="宋体" w:cs="宋体"/>
          <w:b/>
          <w:kern w:val="0"/>
          <w:szCs w:val="21"/>
        </w:rPr>
        <w:t>18.化工总控工实训</w:t>
      </w:r>
    </w:p>
    <w:p>
      <w:pPr>
        <w:spacing w:line="360" w:lineRule="auto"/>
        <w:ind w:firstLine="424" w:firstLineChars="176"/>
        <w:rPr>
          <w:rFonts w:ascii="宋体" w:hAnsi="宋体"/>
          <w:b/>
          <w:sz w:val="24"/>
        </w:rPr>
      </w:pPr>
      <w:r>
        <w:rPr>
          <w:rFonts w:hint="eastAsia" w:ascii="宋体" w:hAnsi="宋体"/>
          <w:b/>
          <w:sz w:val="24"/>
        </w:rPr>
        <w:t>课程目标：</w:t>
      </w:r>
    </w:p>
    <w:p>
      <w:pPr>
        <w:widowControl/>
        <w:tabs>
          <w:tab w:val="left" w:pos="600"/>
        </w:tabs>
        <w:spacing w:line="360" w:lineRule="auto"/>
        <w:ind w:left="-2" w:leftChars="-1" w:right="105" w:rightChars="50" w:firstLine="480" w:firstLineChars="200"/>
        <w:textAlignment w:val="bottom"/>
        <w:rPr>
          <w:sz w:val="24"/>
          <w:szCs w:val="24"/>
        </w:rPr>
      </w:pPr>
      <w:r>
        <w:rPr>
          <w:rFonts w:hint="eastAsia"/>
          <w:sz w:val="24"/>
          <w:szCs w:val="24"/>
        </w:rPr>
        <w:t>化工生产因原料、产品不同，生产过程即工艺流程各不相同，化工产品划分为无机化工、有机化工、精细化工、高分子化工及生物化工五大类，工艺流程更是林林总总变化多端，但化工生产归纳起来，都是由化工单元操作和化学反应过程组成，通过典型化工产品如合成氨、甲醇生产的仿真操作训练，帮助学生理解无机化工、有机化工生产原理，熟悉生产流程，掌握化工生产开、停车操作原则，提高化工生产操作技能。</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氯合成系统仿真操作</w:t>
      </w:r>
    </w:p>
    <w:p>
      <w:pPr>
        <w:pStyle w:val="27"/>
        <w:numPr>
          <w:ilvl w:val="0"/>
          <w:numId w:val="6"/>
        </w:numPr>
        <w:spacing w:line="360" w:lineRule="auto"/>
        <w:ind w:firstLineChars="0"/>
        <w:rPr>
          <w:sz w:val="24"/>
          <w:szCs w:val="24"/>
        </w:rPr>
      </w:pPr>
      <w:r>
        <w:rPr>
          <w:rFonts w:hint="eastAsia"/>
          <w:sz w:val="24"/>
          <w:szCs w:val="24"/>
        </w:rPr>
        <w:t>甲醇生产仿真操作</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sz w:val="24"/>
          <w:szCs w:val="24"/>
        </w:rPr>
      </w:pPr>
      <w:r>
        <w:rPr>
          <w:rFonts w:hint="eastAsia"/>
          <w:sz w:val="24"/>
          <w:szCs w:val="24"/>
        </w:rPr>
        <w:t>通过该教学环节训练，使学生熟悉合成氨生产最后工序氨合成系统、冷冻系统的开、停车操作过程，熟悉甲醇生产合成工序的开、停车操作过程，从而掌握化工生产开、停车操作原则，能对一些常见故障现象进行判断与处理，培养中控室DCS操作能力。</w:t>
      </w:r>
    </w:p>
    <w:p>
      <w:pPr>
        <w:spacing w:line="360" w:lineRule="auto"/>
        <w:ind w:firstLine="482" w:firstLineChars="200"/>
        <w:rPr>
          <w:b/>
          <w:sz w:val="24"/>
          <w:szCs w:val="24"/>
        </w:rPr>
      </w:pPr>
      <w:r>
        <w:rPr>
          <w:rFonts w:hint="eastAsia"/>
          <w:b/>
          <w:sz w:val="24"/>
          <w:szCs w:val="24"/>
        </w:rPr>
        <w:t>19.</w:t>
      </w:r>
      <w:r>
        <w:rPr>
          <w:b/>
          <w:sz w:val="24"/>
          <w:szCs w:val="24"/>
        </w:rPr>
        <w:t>认知实习</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2" w:firstLineChars="176"/>
        <w:rPr>
          <w:sz w:val="24"/>
          <w:szCs w:val="24"/>
        </w:rPr>
      </w:pPr>
      <w:r>
        <w:rPr>
          <w:rFonts w:hint="eastAsia"/>
          <w:sz w:val="24"/>
          <w:szCs w:val="24"/>
        </w:rPr>
        <w:t>为了加强实践性教学环节，培养学生理论联系实际，提高学生分析问题、解决问题的能力及实践技能。在学习基础、专业基础理论课的基础上，必须进行认识实习。通过认识实习，进一步加强理论和实践的联系，为专业课学习打下良好的基础。同时通过实习，为学生提供了一次社会实践的机会，为将来走向工作岗位积累一定的社会实践经验。</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参观六国化工股份有限公司合成氨生产</w:t>
      </w:r>
    </w:p>
    <w:p>
      <w:pPr>
        <w:pStyle w:val="27"/>
        <w:numPr>
          <w:ilvl w:val="0"/>
          <w:numId w:val="6"/>
        </w:numPr>
        <w:spacing w:line="360" w:lineRule="auto"/>
        <w:ind w:firstLineChars="0"/>
        <w:rPr>
          <w:sz w:val="24"/>
          <w:szCs w:val="24"/>
        </w:rPr>
      </w:pPr>
      <w:r>
        <w:rPr>
          <w:rFonts w:hint="eastAsia"/>
          <w:sz w:val="24"/>
          <w:szCs w:val="24"/>
        </w:rPr>
        <w:t>参观金泰化工有限责任公司碳酸二甲酯生产</w:t>
      </w:r>
    </w:p>
    <w:p>
      <w:pPr>
        <w:pStyle w:val="27"/>
        <w:numPr>
          <w:ilvl w:val="0"/>
          <w:numId w:val="6"/>
        </w:numPr>
        <w:spacing w:line="360" w:lineRule="auto"/>
        <w:ind w:firstLineChars="0"/>
        <w:rPr>
          <w:sz w:val="24"/>
          <w:szCs w:val="24"/>
        </w:rPr>
      </w:pPr>
      <w:r>
        <w:rPr>
          <w:rFonts w:hint="eastAsia"/>
          <w:sz w:val="24"/>
          <w:szCs w:val="24"/>
        </w:rPr>
        <w:t>参观</w:t>
      </w:r>
      <w:r>
        <w:rPr>
          <w:sz w:val="24"/>
          <w:szCs w:val="24"/>
        </w:rPr>
        <w:t>安纳达钛业</w:t>
      </w:r>
      <w:r>
        <w:rPr>
          <w:rFonts w:hint="eastAsia"/>
          <w:sz w:val="24"/>
          <w:szCs w:val="24"/>
        </w:rPr>
        <w:t>股份有限公司钛白粉生产</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sz w:val="24"/>
          <w:szCs w:val="24"/>
        </w:rPr>
      </w:pPr>
      <w:r>
        <w:rPr>
          <w:rFonts w:hint="eastAsia"/>
          <w:sz w:val="24"/>
          <w:szCs w:val="24"/>
        </w:rPr>
        <w:t>接受学院和企业的三级安全教育，认真学习企业安全生产法规及相关知识；进行现场安全教育，培养安全意识；</w:t>
      </w:r>
      <w:r>
        <w:rPr>
          <w:sz w:val="24"/>
          <w:szCs w:val="24"/>
        </w:rPr>
        <w:t>了解化工</w:t>
      </w:r>
      <w:r>
        <w:rPr>
          <w:rFonts w:hint="eastAsia"/>
          <w:sz w:val="24"/>
          <w:szCs w:val="24"/>
        </w:rPr>
        <w:t>企业的生产组织情况；</w:t>
      </w:r>
      <w:r>
        <w:rPr>
          <w:sz w:val="24"/>
          <w:szCs w:val="24"/>
        </w:rPr>
        <w:t>了解</w:t>
      </w:r>
      <w:r>
        <w:rPr>
          <w:rFonts w:hint="eastAsia"/>
          <w:sz w:val="24"/>
          <w:szCs w:val="24"/>
        </w:rPr>
        <w:t>企业产品的主要性能与用途；</w:t>
      </w:r>
      <w:r>
        <w:rPr>
          <w:sz w:val="24"/>
          <w:szCs w:val="24"/>
        </w:rPr>
        <w:t>了解</w:t>
      </w:r>
      <w:r>
        <w:rPr>
          <w:rFonts w:hint="eastAsia"/>
          <w:sz w:val="24"/>
          <w:szCs w:val="24"/>
        </w:rPr>
        <w:t>企业主要产品的生产原理</w:t>
      </w:r>
      <w:r>
        <w:rPr>
          <w:sz w:val="24"/>
          <w:szCs w:val="24"/>
        </w:rPr>
        <w:t>及工艺</w:t>
      </w:r>
      <w:r>
        <w:rPr>
          <w:rFonts w:hint="eastAsia"/>
          <w:sz w:val="24"/>
          <w:szCs w:val="24"/>
        </w:rPr>
        <w:t>流</w:t>
      </w:r>
      <w:r>
        <w:rPr>
          <w:sz w:val="24"/>
          <w:szCs w:val="24"/>
        </w:rPr>
        <w:t>程</w:t>
      </w:r>
      <w:r>
        <w:rPr>
          <w:rFonts w:hint="eastAsia"/>
          <w:sz w:val="24"/>
          <w:szCs w:val="24"/>
        </w:rPr>
        <w:t>、</w:t>
      </w:r>
      <w:r>
        <w:rPr>
          <w:sz w:val="24"/>
          <w:szCs w:val="24"/>
        </w:rPr>
        <w:t>主要设备</w:t>
      </w:r>
      <w:r>
        <w:rPr>
          <w:rFonts w:hint="eastAsia"/>
          <w:sz w:val="24"/>
          <w:szCs w:val="24"/>
        </w:rPr>
        <w:t>；</w:t>
      </w:r>
      <w:r>
        <w:rPr>
          <w:sz w:val="24"/>
          <w:szCs w:val="24"/>
        </w:rPr>
        <w:t>了解</w:t>
      </w:r>
      <w:r>
        <w:rPr>
          <w:rFonts w:hint="eastAsia"/>
          <w:sz w:val="24"/>
          <w:szCs w:val="24"/>
        </w:rPr>
        <w:t>主要产品的原材料及产品分析检测情况等。</w:t>
      </w:r>
    </w:p>
    <w:p>
      <w:pPr>
        <w:spacing w:line="360" w:lineRule="auto"/>
        <w:ind w:firstLine="482" w:firstLineChars="200"/>
        <w:rPr>
          <w:b/>
          <w:sz w:val="24"/>
          <w:szCs w:val="24"/>
        </w:rPr>
      </w:pPr>
      <w:r>
        <w:rPr>
          <w:rFonts w:hint="eastAsia"/>
          <w:b/>
          <w:sz w:val="24"/>
          <w:szCs w:val="24"/>
        </w:rPr>
        <w:t>20.专业综合技能训练</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0" w:firstLineChars="200"/>
        <w:rPr>
          <w:rFonts w:ascii="宋体" w:hAnsi="宋体"/>
          <w:szCs w:val="21"/>
        </w:rPr>
      </w:pPr>
      <w:r>
        <w:rPr>
          <w:rFonts w:hint="eastAsia" w:ascii="宋体" w:hAnsi="宋体"/>
          <w:szCs w:val="21"/>
        </w:rPr>
        <w:t>《专业综合技能</w:t>
      </w:r>
      <w:r>
        <w:rPr>
          <w:rFonts w:hint="eastAsia" w:ascii="宋体" w:hAnsi="宋体"/>
          <w:bCs/>
          <w:szCs w:val="21"/>
        </w:rPr>
        <w:t>实训</w:t>
      </w:r>
      <w:r>
        <w:rPr>
          <w:rFonts w:hint="eastAsia" w:ascii="宋体" w:hAnsi="宋体"/>
          <w:szCs w:val="21"/>
        </w:rPr>
        <w:t>》是应用化工技术专业学生顶岗实习前的校内专业技能课，针对两大就业岗位群即分析化验岗位、化工操作岗位的岗位要求，进行综合技能训练。分析化验是应用化学分析、仪器分析的基本理论和分析手段，鉴定物质的组成，测定物质各组成成分含量的一项技术。教学中结合实验操作和大型分析仪器仿真操作软件，综合训练学生的化学分析能力、仪器分析能力。化工生产操作主要是进行生产装置的开车、运行、停车及故障处理，操作人员主要是在控制室内进行DCS操作，即根据生产工艺操作指标，观察控制参数的变化来进行控制阀门的操作，教学中利用东方仿真软件训练学生的D</w:t>
      </w:r>
      <w:r>
        <w:rPr>
          <w:rFonts w:ascii="宋体" w:hAnsi="宋体"/>
          <w:szCs w:val="21"/>
        </w:rPr>
        <w:t>CS</w:t>
      </w:r>
      <w:r>
        <w:rPr>
          <w:rFonts w:hint="eastAsia" w:ascii="宋体" w:hAnsi="宋体"/>
          <w:szCs w:val="21"/>
        </w:rPr>
        <w:t>操作能力。</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sz w:val="24"/>
          <w:szCs w:val="24"/>
        </w:rPr>
        <w:t>分析化验模块：</w:t>
      </w:r>
      <w:r>
        <w:rPr>
          <w:rFonts w:hint="eastAsia"/>
          <w:sz w:val="24"/>
          <w:szCs w:val="24"/>
        </w:rPr>
        <w:t>长江水质分析，高锰酸钾标准滴定溶液的标定，过氧化氢含量的测定，紫外-可见分光光度法测定未知物，原子吸收分光光度计仿真操作，高效液相色谱仿真操作。</w:t>
      </w:r>
    </w:p>
    <w:p>
      <w:pPr>
        <w:pStyle w:val="27"/>
        <w:numPr>
          <w:ilvl w:val="0"/>
          <w:numId w:val="6"/>
        </w:numPr>
        <w:spacing w:line="360" w:lineRule="auto"/>
        <w:ind w:firstLineChars="0"/>
        <w:rPr>
          <w:sz w:val="24"/>
          <w:szCs w:val="24"/>
        </w:rPr>
      </w:pPr>
      <w:r>
        <w:rPr>
          <w:rFonts w:hint="eastAsia"/>
          <w:sz w:val="24"/>
          <w:szCs w:val="24"/>
        </w:rPr>
        <w:t>化工工艺仿真操作模块：硫磺制硫酸工艺仿真操作</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sz w:val="24"/>
          <w:szCs w:val="24"/>
        </w:rPr>
      </w:pPr>
      <w:r>
        <w:rPr>
          <w:rFonts w:hint="eastAsia"/>
          <w:sz w:val="24"/>
          <w:szCs w:val="24"/>
        </w:rPr>
        <w:t>通过该教学环节训练，使学生进一步熟悉实验室管理，能进行一些试剂和标准溶液的配制，能对分析数据结果进行分析判断，能利用大型仪器进行分析操作。实训中，通过硫酸生产仿真操作，能进一步熟悉硫酸生产工艺过程，读懂生产工艺流程图，理解生产控制原理，掌握开、停车原则。</w:t>
      </w:r>
    </w:p>
    <w:p>
      <w:pPr>
        <w:spacing w:line="360" w:lineRule="auto"/>
        <w:ind w:firstLine="482" w:firstLineChars="200"/>
        <w:rPr>
          <w:b/>
          <w:sz w:val="24"/>
          <w:szCs w:val="24"/>
        </w:rPr>
      </w:pPr>
      <w:r>
        <w:rPr>
          <w:rFonts w:hint="eastAsia"/>
          <w:b/>
          <w:sz w:val="24"/>
          <w:szCs w:val="24"/>
        </w:rPr>
        <w:t>21.</w:t>
      </w:r>
      <w:r>
        <w:rPr>
          <w:b/>
          <w:sz w:val="24"/>
          <w:szCs w:val="24"/>
        </w:rPr>
        <w:t>顶岗实习</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2" w:firstLineChars="176"/>
        <w:rPr>
          <w:sz w:val="24"/>
          <w:szCs w:val="24"/>
        </w:rPr>
      </w:pPr>
      <w:r>
        <w:rPr>
          <w:rFonts w:hint="eastAsia"/>
          <w:sz w:val="24"/>
          <w:szCs w:val="24"/>
        </w:rPr>
        <w:t>应用化工技术专业学生通过顶岗实习，能够了解企业的运作、组织架构、规章制度和企业文化；熟悉岗位的工作流程、工作内容及</w:t>
      </w:r>
      <w:r>
        <w:rPr>
          <w:sz w:val="24"/>
          <w:szCs w:val="24"/>
        </w:rPr>
        <w:t>主要</w:t>
      </w:r>
      <w:r>
        <w:rPr>
          <w:rFonts w:hint="eastAsia"/>
          <w:sz w:val="24"/>
          <w:szCs w:val="24"/>
        </w:rPr>
        <w:t>技能，在师傅的指导下，能够进行岗位的基本操作，对岗位中出现的一些常见问题和异常，能进行分析、判断和处理；能养成爱岗敬业、精益求精、诚实守信的职业精神，提升就业能力。</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化工操作岗位：企业安全教育，实习单位的总体情况，本岗位操作。</w:t>
      </w:r>
    </w:p>
    <w:p>
      <w:pPr>
        <w:pStyle w:val="27"/>
        <w:numPr>
          <w:ilvl w:val="0"/>
          <w:numId w:val="6"/>
        </w:numPr>
        <w:spacing w:line="360" w:lineRule="auto"/>
        <w:ind w:firstLineChars="0"/>
        <w:rPr>
          <w:sz w:val="24"/>
          <w:szCs w:val="24"/>
        </w:rPr>
      </w:pPr>
      <w:r>
        <w:rPr>
          <w:sz w:val="24"/>
          <w:szCs w:val="24"/>
        </w:rPr>
        <w:t>分析化验岗位：</w:t>
      </w:r>
      <w:r>
        <w:rPr>
          <w:rFonts w:hint="eastAsia"/>
          <w:sz w:val="24"/>
          <w:szCs w:val="24"/>
        </w:rPr>
        <w:t>企业安全教育，实习单位的总体情况，实验室管理，样品分析化验，仪器设备操作与维护等。</w:t>
      </w:r>
    </w:p>
    <w:p>
      <w:pPr>
        <w:spacing w:line="360" w:lineRule="auto"/>
        <w:ind w:firstLine="424" w:firstLineChars="176"/>
        <w:rPr>
          <w:rFonts w:ascii="宋体" w:hAnsi="宋体"/>
          <w:b/>
          <w:sz w:val="24"/>
        </w:rPr>
      </w:pPr>
      <w:r>
        <w:rPr>
          <w:rFonts w:hint="eastAsia" w:ascii="宋体" w:hAnsi="宋体"/>
          <w:b/>
          <w:sz w:val="24"/>
        </w:rPr>
        <w:t xml:space="preserve"> 教学要求：</w:t>
      </w:r>
    </w:p>
    <w:p>
      <w:pPr>
        <w:spacing w:line="360" w:lineRule="auto"/>
        <w:ind w:firstLine="422" w:firstLineChars="176"/>
        <w:rPr>
          <w:sz w:val="24"/>
          <w:szCs w:val="24"/>
        </w:rPr>
      </w:pPr>
      <w:r>
        <w:rPr>
          <w:rFonts w:hint="eastAsia"/>
          <w:sz w:val="24"/>
          <w:szCs w:val="24"/>
        </w:rPr>
        <w:t>对于化工操作岗位，通过实习，在理论知识方面，要懂得实习所在岗位的生产过程、工艺流程、反应原理、工艺指标及主要设备的结构、材质、性能和运行原理，并懂得与本岗位有关的机器设备、电气仪表、分析化验等方面的一般知识和计算。在技能方面，要求能熟练掌握实习所在岗位的的基本操作，能正确判断和及时正确地处理本岗位常见故障，能对本岗位的设备进行维护保养。</w:t>
      </w:r>
    </w:p>
    <w:p>
      <w:pPr>
        <w:spacing w:line="360" w:lineRule="auto"/>
        <w:ind w:firstLine="422" w:firstLineChars="176"/>
        <w:rPr>
          <w:sz w:val="24"/>
          <w:szCs w:val="24"/>
        </w:rPr>
      </w:pPr>
      <w:r>
        <w:rPr>
          <w:rFonts w:hint="eastAsia"/>
          <w:sz w:val="24"/>
          <w:szCs w:val="24"/>
        </w:rPr>
        <w:t>对于分析化验岗位，通过实习，熟悉相关的国家和行业分析标准，熟悉本岗位的工作流程，基本掌握本岗位样品的取样和分析的操作，相关试剂和试样的配制的操作，学会本岗位分析仪器的操作，能对分析仪器进行基本保养与维护。</w:t>
      </w:r>
    </w:p>
    <w:p>
      <w:pPr>
        <w:adjustRightInd w:val="0"/>
        <w:spacing w:line="560" w:lineRule="exact"/>
        <w:ind w:firstLine="482" w:firstLineChars="200"/>
        <w:rPr>
          <w:rFonts w:asciiTheme="minorEastAsia" w:hAnsiTheme="minorEastAsia"/>
          <w:b/>
          <w:sz w:val="24"/>
          <w:szCs w:val="24"/>
        </w:rPr>
      </w:pPr>
      <w:r>
        <w:rPr>
          <w:rFonts w:hint="eastAsia" w:ascii="宋体" w:hAnsi="宋体"/>
          <w:b/>
          <w:sz w:val="24"/>
        </w:rPr>
        <w:t>（三）</w:t>
      </w:r>
      <w:r>
        <w:rPr>
          <w:rFonts w:hint="eastAsia" w:asciiTheme="minorEastAsia" w:hAnsiTheme="minorEastAsia"/>
          <w:b/>
          <w:sz w:val="24"/>
          <w:szCs w:val="24"/>
        </w:rPr>
        <w:t>专业相关的实践能力要求</w:t>
      </w:r>
    </w:p>
    <w:tbl>
      <w:tblPr>
        <w:tblStyle w:val="11"/>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3827"/>
        <w:gridCol w:w="1276"/>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46" w:type="dxa"/>
          </w:tcPr>
          <w:p>
            <w:pPr>
              <w:jc w:val="center"/>
              <w:rPr>
                <w:szCs w:val="21"/>
              </w:rPr>
            </w:pPr>
            <w:r>
              <w:rPr>
                <w:rFonts w:hint="eastAsia"/>
                <w:szCs w:val="21"/>
              </w:rPr>
              <w:t>序号</w:t>
            </w:r>
          </w:p>
        </w:tc>
        <w:tc>
          <w:tcPr>
            <w:tcW w:w="1417" w:type="dxa"/>
          </w:tcPr>
          <w:p>
            <w:pPr>
              <w:jc w:val="center"/>
              <w:rPr>
                <w:szCs w:val="21"/>
              </w:rPr>
            </w:pPr>
            <w:r>
              <w:rPr>
                <w:rFonts w:hint="eastAsia"/>
                <w:szCs w:val="21"/>
              </w:rPr>
              <w:t>证书名称</w:t>
            </w:r>
          </w:p>
        </w:tc>
        <w:tc>
          <w:tcPr>
            <w:tcW w:w="3827" w:type="dxa"/>
          </w:tcPr>
          <w:p>
            <w:pPr>
              <w:jc w:val="center"/>
              <w:rPr>
                <w:szCs w:val="21"/>
              </w:rPr>
            </w:pPr>
            <w:r>
              <w:rPr>
                <w:rFonts w:hint="eastAsia"/>
                <w:szCs w:val="21"/>
              </w:rPr>
              <w:t>颁证单位</w:t>
            </w:r>
          </w:p>
        </w:tc>
        <w:tc>
          <w:tcPr>
            <w:tcW w:w="1276" w:type="dxa"/>
          </w:tcPr>
          <w:p>
            <w:pPr>
              <w:jc w:val="center"/>
              <w:rPr>
                <w:szCs w:val="21"/>
              </w:rPr>
            </w:pPr>
            <w:r>
              <w:rPr>
                <w:rFonts w:hint="eastAsia"/>
                <w:szCs w:val="21"/>
              </w:rPr>
              <w:t>等级</w:t>
            </w:r>
          </w:p>
        </w:tc>
        <w:tc>
          <w:tcPr>
            <w:tcW w:w="993" w:type="dxa"/>
          </w:tcPr>
          <w:p>
            <w:pPr>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jc w:val="center"/>
              <w:rPr>
                <w:rFonts w:ascii="宋体" w:hAnsi="宋体"/>
                <w:szCs w:val="21"/>
              </w:rPr>
            </w:pPr>
            <w:r>
              <w:rPr>
                <w:rFonts w:hint="eastAsia" w:ascii="宋体" w:hAnsi="宋体"/>
                <w:szCs w:val="21"/>
              </w:rPr>
              <w:t>1</w:t>
            </w:r>
          </w:p>
        </w:tc>
        <w:tc>
          <w:tcPr>
            <w:tcW w:w="1417" w:type="dxa"/>
            <w:vAlign w:val="center"/>
          </w:tcPr>
          <w:p>
            <w:pPr>
              <w:jc w:val="center"/>
              <w:rPr>
                <w:rFonts w:ascii="宋体" w:hAnsi="宋体"/>
                <w:szCs w:val="21"/>
              </w:rPr>
            </w:pPr>
            <w:r>
              <w:rPr>
                <w:rFonts w:hint="eastAsia" w:ascii="宋体" w:hAnsi="宋体"/>
                <w:szCs w:val="21"/>
              </w:rPr>
              <w:t>化学检验工</w:t>
            </w:r>
          </w:p>
        </w:tc>
        <w:tc>
          <w:tcPr>
            <w:tcW w:w="3827" w:type="dxa"/>
            <w:vAlign w:val="center"/>
          </w:tcPr>
          <w:p>
            <w:pPr>
              <w:rPr>
                <w:rFonts w:ascii="宋体" w:hAnsi="宋体"/>
                <w:szCs w:val="21"/>
              </w:rPr>
            </w:pPr>
            <w:r>
              <w:rPr>
                <w:rFonts w:hint="eastAsia" w:ascii="宋体" w:hAnsi="宋体"/>
                <w:szCs w:val="21"/>
              </w:rPr>
              <w:t>中华人民共和国人力资源与社会保障部</w:t>
            </w:r>
          </w:p>
        </w:tc>
        <w:tc>
          <w:tcPr>
            <w:tcW w:w="1276" w:type="dxa"/>
            <w:vAlign w:val="center"/>
          </w:tcPr>
          <w:p>
            <w:pPr>
              <w:ind w:right="-27" w:rightChars="-13"/>
              <w:jc w:val="center"/>
              <w:rPr>
                <w:rFonts w:ascii="宋体" w:hAnsi="宋体"/>
                <w:szCs w:val="21"/>
              </w:rPr>
            </w:pPr>
            <w:r>
              <w:rPr>
                <w:rFonts w:hint="eastAsia" w:ascii="宋体" w:hAnsi="宋体"/>
                <w:szCs w:val="21"/>
              </w:rPr>
              <w:t>中级</w:t>
            </w:r>
          </w:p>
        </w:tc>
        <w:tc>
          <w:tcPr>
            <w:tcW w:w="993"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jc w:val="center"/>
              <w:rPr>
                <w:rFonts w:ascii="宋体" w:hAnsi="宋体"/>
                <w:szCs w:val="21"/>
              </w:rPr>
            </w:pPr>
            <w:r>
              <w:rPr>
                <w:rFonts w:hint="eastAsia" w:ascii="宋体" w:hAnsi="宋体"/>
                <w:szCs w:val="21"/>
              </w:rPr>
              <w:t>2</w:t>
            </w:r>
          </w:p>
        </w:tc>
        <w:tc>
          <w:tcPr>
            <w:tcW w:w="1417" w:type="dxa"/>
            <w:vAlign w:val="center"/>
          </w:tcPr>
          <w:p>
            <w:pPr>
              <w:jc w:val="center"/>
              <w:rPr>
                <w:rFonts w:ascii="宋体" w:hAnsi="宋体"/>
                <w:szCs w:val="21"/>
              </w:rPr>
            </w:pPr>
            <w:r>
              <w:rPr>
                <w:rFonts w:hint="eastAsia" w:ascii="宋体" w:hAnsi="宋体"/>
                <w:szCs w:val="21"/>
              </w:rPr>
              <w:t>化工总控工</w:t>
            </w:r>
          </w:p>
        </w:tc>
        <w:tc>
          <w:tcPr>
            <w:tcW w:w="3827" w:type="dxa"/>
            <w:vAlign w:val="center"/>
          </w:tcPr>
          <w:p>
            <w:pPr>
              <w:rPr>
                <w:rFonts w:ascii="宋体" w:hAnsi="宋体"/>
                <w:szCs w:val="21"/>
              </w:rPr>
            </w:pPr>
            <w:r>
              <w:rPr>
                <w:rFonts w:hint="eastAsia" w:ascii="宋体" w:hAnsi="宋体"/>
                <w:szCs w:val="21"/>
              </w:rPr>
              <w:t>中华人民共和国人力资源与社会保障部</w:t>
            </w:r>
          </w:p>
        </w:tc>
        <w:tc>
          <w:tcPr>
            <w:tcW w:w="1276" w:type="dxa"/>
            <w:vAlign w:val="center"/>
          </w:tcPr>
          <w:p>
            <w:pPr>
              <w:jc w:val="center"/>
              <w:rPr>
                <w:rFonts w:ascii="宋体" w:hAnsi="宋体"/>
                <w:szCs w:val="21"/>
              </w:rPr>
            </w:pPr>
            <w:r>
              <w:rPr>
                <w:rFonts w:hint="eastAsia" w:ascii="宋体" w:hAnsi="宋体"/>
                <w:szCs w:val="21"/>
              </w:rPr>
              <w:t>中级</w:t>
            </w:r>
          </w:p>
        </w:tc>
        <w:tc>
          <w:tcPr>
            <w:tcW w:w="993" w:type="dxa"/>
          </w:tcPr>
          <w:p>
            <w:pPr>
              <w:jc w:val="center"/>
              <w:rPr>
                <w:szCs w:val="21"/>
              </w:rPr>
            </w:pPr>
          </w:p>
        </w:tc>
      </w:tr>
    </w:tbl>
    <w:p>
      <w:pPr>
        <w:adjustRightInd w:val="0"/>
        <w:spacing w:line="560" w:lineRule="exact"/>
        <w:ind w:firstLine="282" w:firstLineChars="117"/>
        <w:rPr>
          <w:rFonts w:ascii="黑体" w:hAnsi="黑体" w:eastAsia="黑体"/>
          <w:b/>
          <w:sz w:val="24"/>
          <w:szCs w:val="24"/>
        </w:rPr>
      </w:pPr>
      <w:r>
        <w:rPr>
          <w:rFonts w:ascii="黑体" w:hAnsi="黑体" w:eastAsia="黑体"/>
          <w:b/>
          <w:sz w:val="24"/>
          <w:szCs w:val="24"/>
        </w:rPr>
        <w:t>七、教学进程总体安排</w:t>
      </w:r>
    </w:p>
    <w:p>
      <w:pPr>
        <w:adjustRightInd w:val="0"/>
        <w:spacing w:line="560" w:lineRule="exact"/>
        <w:ind w:firstLine="565" w:firstLineChars="268"/>
        <w:jc w:val="center"/>
        <w:rPr>
          <w:rFonts w:ascii="仿宋" w:hAnsi="仿宋" w:eastAsia="仿宋"/>
          <w:b/>
          <w:szCs w:val="21"/>
        </w:rPr>
      </w:pPr>
      <w:r>
        <w:rPr>
          <w:rFonts w:hint="eastAsia" w:ascii="仿宋" w:hAnsi="仿宋" w:eastAsia="仿宋"/>
          <w:b/>
          <w:szCs w:val="21"/>
        </w:rPr>
        <w:t>表</w:t>
      </w:r>
      <w:r>
        <w:rPr>
          <w:rFonts w:ascii="仿宋" w:hAnsi="仿宋" w:eastAsia="仿宋"/>
          <w:b/>
          <w:szCs w:val="21"/>
        </w:rPr>
        <w:t>1</w:t>
      </w:r>
      <w:r>
        <w:rPr>
          <w:rFonts w:hint="eastAsia" w:ascii="仿宋" w:hAnsi="仿宋" w:eastAsia="仿宋"/>
          <w:b/>
          <w:szCs w:val="21"/>
        </w:rPr>
        <w:t xml:space="preserve"> 教学进程安排表</w:t>
      </w:r>
    </w:p>
    <w:tbl>
      <w:tblPr>
        <w:tblStyle w:val="11"/>
        <w:tblW w:w="1130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387"/>
        <w:gridCol w:w="1418"/>
        <w:gridCol w:w="657"/>
        <w:gridCol w:w="708"/>
        <w:gridCol w:w="709"/>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课程类别</w:t>
            </w:r>
          </w:p>
        </w:tc>
        <w:tc>
          <w:tcPr>
            <w:tcW w:w="387"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课程序号</w:t>
            </w:r>
          </w:p>
        </w:tc>
        <w:tc>
          <w:tcPr>
            <w:tcW w:w="1418" w:type="dxa"/>
            <w:vMerge w:val="restart"/>
            <w:vAlign w:val="center"/>
          </w:tcPr>
          <w:p>
            <w:pPr>
              <w:widowControl/>
              <w:jc w:val="center"/>
              <w:rPr>
                <w:rFonts w:ascii="宋体" w:cs="宋体"/>
                <w:b/>
                <w:bCs/>
                <w:kern w:val="0"/>
                <w:szCs w:val="21"/>
              </w:rPr>
            </w:pPr>
            <w:r>
              <w:rPr>
                <w:rFonts w:hint="eastAsia" w:ascii="宋体" w:hAnsi="宋体" w:cs="宋体"/>
                <w:b/>
                <w:bCs/>
                <w:kern w:val="0"/>
                <w:szCs w:val="21"/>
              </w:rPr>
              <w:t>课程名称</w:t>
            </w:r>
          </w:p>
        </w:tc>
        <w:tc>
          <w:tcPr>
            <w:tcW w:w="2074" w:type="dxa"/>
            <w:gridSpan w:val="3"/>
            <w:noWrap/>
            <w:vAlign w:val="center"/>
          </w:tcPr>
          <w:p>
            <w:pPr>
              <w:widowControl/>
              <w:jc w:val="center"/>
              <w:rPr>
                <w:rFonts w:ascii="宋体" w:cs="宋体"/>
                <w:b/>
                <w:bCs/>
                <w:kern w:val="0"/>
                <w:szCs w:val="21"/>
              </w:rPr>
            </w:pPr>
            <w:r>
              <w:rPr>
                <w:rFonts w:hint="eastAsia" w:ascii="宋体" w:hAnsi="宋体" w:cs="宋体"/>
                <w:b/>
                <w:bCs/>
                <w:kern w:val="0"/>
                <w:szCs w:val="21"/>
              </w:rPr>
              <w:t>课时分配</w:t>
            </w:r>
          </w:p>
        </w:tc>
        <w:tc>
          <w:tcPr>
            <w:tcW w:w="659" w:type="dxa"/>
            <w:vMerge w:val="restart"/>
          </w:tcPr>
          <w:p>
            <w:pPr>
              <w:widowControl/>
              <w:rPr>
                <w:rFonts w:ascii="宋体" w:hAnsi="宋体" w:cs="宋体"/>
                <w:b/>
                <w:bCs/>
                <w:kern w:val="0"/>
                <w:szCs w:val="21"/>
              </w:rPr>
            </w:pPr>
          </w:p>
          <w:p>
            <w:pPr>
              <w:widowControl/>
              <w:rPr>
                <w:rFonts w:ascii="宋体" w:hAnsi="宋体" w:cs="宋体"/>
                <w:b/>
                <w:bCs/>
                <w:kern w:val="0"/>
                <w:szCs w:val="21"/>
              </w:rPr>
            </w:pPr>
            <w:r>
              <w:rPr>
                <w:rFonts w:hint="eastAsia" w:ascii="宋体" w:hAnsi="宋体" w:cs="宋体"/>
                <w:b/>
                <w:bCs/>
                <w:kern w:val="0"/>
                <w:szCs w:val="21"/>
              </w:rPr>
              <w:t>学</w:t>
            </w:r>
          </w:p>
          <w:p>
            <w:pPr>
              <w:widowControl/>
              <w:rPr>
                <w:rFonts w:ascii="宋体" w:hAnsi="宋体" w:cs="宋体"/>
                <w:b/>
                <w:bCs/>
                <w:kern w:val="0"/>
                <w:szCs w:val="21"/>
              </w:rPr>
            </w:pPr>
            <w:r>
              <w:rPr>
                <w:rFonts w:hint="eastAsia" w:ascii="宋体" w:hAnsi="宋体" w:cs="宋体"/>
                <w:b/>
                <w:bCs/>
                <w:kern w:val="0"/>
                <w:szCs w:val="21"/>
              </w:rPr>
              <w:t>分</w:t>
            </w:r>
          </w:p>
        </w:tc>
        <w:tc>
          <w:tcPr>
            <w:tcW w:w="4382" w:type="dxa"/>
            <w:gridSpan w:val="6"/>
            <w:noWrap/>
            <w:vAlign w:val="center"/>
          </w:tcPr>
          <w:p>
            <w:pPr>
              <w:widowControl/>
              <w:jc w:val="center"/>
              <w:rPr>
                <w:rFonts w:ascii="宋体" w:cs="宋体"/>
                <w:b/>
                <w:bCs/>
                <w:kern w:val="0"/>
                <w:szCs w:val="21"/>
              </w:rPr>
            </w:pPr>
            <w:r>
              <w:rPr>
                <w:rFonts w:hint="eastAsia" w:ascii="宋体" w:hAnsi="宋体" w:cs="宋体"/>
                <w:b/>
                <w:bCs/>
                <w:kern w:val="0"/>
                <w:szCs w:val="21"/>
              </w:rPr>
              <w:t>每学期教学周数及周学时分配</w:t>
            </w:r>
          </w:p>
        </w:tc>
        <w:tc>
          <w:tcPr>
            <w:tcW w:w="1504" w:type="dxa"/>
            <w:gridSpan w:val="2"/>
            <w:noWrap/>
            <w:vAlign w:val="center"/>
          </w:tcPr>
          <w:p>
            <w:pPr>
              <w:widowControl/>
              <w:jc w:val="center"/>
              <w:rPr>
                <w:rFonts w:ascii="宋体" w:cs="宋体"/>
                <w:b/>
                <w:bCs/>
                <w:kern w:val="0"/>
                <w:szCs w:val="21"/>
              </w:rPr>
            </w:pPr>
            <w:r>
              <w:rPr>
                <w:rFonts w:hint="eastAsia" w:ascii="宋体" w:hAnsi="宋体" w:cs="宋体"/>
                <w:b/>
                <w:bCs/>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kern w:val="0"/>
                <w:szCs w:val="21"/>
              </w:rPr>
            </w:pPr>
          </w:p>
        </w:tc>
        <w:tc>
          <w:tcPr>
            <w:tcW w:w="387" w:type="dxa"/>
            <w:vMerge w:val="continue"/>
            <w:vAlign w:val="center"/>
          </w:tcPr>
          <w:p>
            <w:pPr>
              <w:widowControl/>
              <w:jc w:val="left"/>
              <w:rPr>
                <w:rFonts w:ascii="宋体" w:cs="宋体"/>
                <w:b/>
                <w:bCs/>
                <w:kern w:val="0"/>
                <w:szCs w:val="21"/>
              </w:rPr>
            </w:pPr>
          </w:p>
        </w:tc>
        <w:tc>
          <w:tcPr>
            <w:tcW w:w="1418" w:type="dxa"/>
            <w:vMerge w:val="continue"/>
            <w:vAlign w:val="center"/>
          </w:tcPr>
          <w:p>
            <w:pPr>
              <w:widowControl/>
              <w:jc w:val="left"/>
              <w:rPr>
                <w:rFonts w:ascii="宋体" w:cs="宋体"/>
                <w:b/>
                <w:bCs/>
                <w:kern w:val="0"/>
                <w:szCs w:val="21"/>
              </w:rPr>
            </w:pPr>
          </w:p>
        </w:tc>
        <w:tc>
          <w:tcPr>
            <w:tcW w:w="657"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理论</w:t>
            </w:r>
          </w:p>
        </w:tc>
        <w:tc>
          <w:tcPr>
            <w:tcW w:w="708"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实践</w:t>
            </w:r>
          </w:p>
        </w:tc>
        <w:tc>
          <w:tcPr>
            <w:tcW w:w="709"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59" w:type="dxa"/>
            <w:vMerge w:val="continue"/>
          </w:tcPr>
          <w:p>
            <w:pPr>
              <w:widowControl/>
              <w:jc w:val="center"/>
              <w:rPr>
                <w:rFonts w:ascii="宋体" w:hAnsi="宋体" w:cs="宋体"/>
                <w:b/>
                <w:bCs/>
                <w:kern w:val="0"/>
                <w:szCs w:val="21"/>
              </w:rPr>
            </w:pPr>
          </w:p>
        </w:tc>
        <w:tc>
          <w:tcPr>
            <w:tcW w:w="713" w:type="dxa"/>
            <w:noWrap/>
            <w:vAlign w:val="center"/>
          </w:tcPr>
          <w:p>
            <w:pPr>
              <w:widowControl/>
              <w:jc w:val="center"/>
              <w:rPr>
                <w:rFonts w:ascii="宋体" w:cs="宋体"/>
                <w:b/>
                <w:bCs/>
                <w:kern w:val="0"/>
                <w:szCs w:val="21"/>
              </w:rPr>
            </w:pPr>
            <w:r>
              <w:rPr>
                <w:rFonts w:hint="eastAsia" w:ascii="宋体" w:hAnsi="宋体" w:cs="宋体"/>
                <w:b/>
                <w:bCs/>
                <w:kern w:val="0"/>
                <w:szCs w:val="21"/>
              </w:rPr>
              <w:t>一</w:t>
            </w:r>
          </w:p>
        </w:tc>
        <w:tc>
          <w:tcPr>
            <w:tcW w:w="769" w:type="dxa"/>
            <w:noWrap/>
            <w:vAlign w:val="center"/>
          </w:tcPr>
          <w:p>
            <w:pPr>
              <w:widowControl/>
              <w:jc w:val="center"/>
              <w:rPr>
                <w:rFonts w:ascii="宋体" w:cs="宋体"/>
                <w:b/>
                <w:bCs/>
                <w:kern w:val="0"/>
                <w:szCs w:val="21"/>
              </w:rPr>
            </w:pPr>
            <w:r>
              <w:rPr>
                <w:rFonts w:hint="eastAsia" w:ascii="宋体" w:hAnsi="宋体" w:cs="宋体"/>
                <w:b/>
                <w:bCs/>
                <w:kern w:val="0"/>
                <w:szCs w:val="21"/>
              </w:rPr>
              <w:t>二</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rPr>
              <w:t>三</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rPr>
              <w:t>四</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五</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六</w:t>
            </w:r>
          </w:p>
        </w:tc>
        <w:tc>
          <w:tcPr>
            <w:tcW w:w="823" w:type="dxa"/>
            <w:vMerge w:val="restart"/>
            <w:noWrap/>
            <w:vAlign w:val="center"/>
          </w:tcPr>
          <w:p>
            <w:pPr>
              <w:widowControl/>
              <w:jc w:val="left"/>
              <w:rPr>
                <w:rFonts w:ascii="宋体" w:cs="宋体"/>
                <w:b/>
                <w:kern w:val="0"/>
                <w:szCs w:val="21"/>
              </w:rPr>
            </w:pPr>
            <w:r>
              <w:rPr>
                <w:rFonts w:hint="eastAsia" w:ascii="宋体" w:hAnsi="宋体" w:cs="宋体"/>
                <w:b/>
                <w:kern w:val="0"/>
                <w:szCs w:val="21"/>
              </w:rPr>
              <w:t>方式</w:t>
            </w:r>
          </w:p>
        </w:tc>
        <w:tc>
          <w:tcPr>
            <w:tcW w:w="681" w:type="dxa"/>
            <w:vMerge w:val="restart"/>
            <w:noWrap/>
            <w:vAlign w:val="center"/>
          </w:tcPr>
          <w:p>
            <w:pPr>
              <w:widowControl/>
              <w:jc w:val="left"/>
              <w:rPr>
                <w:rFonts w:ascii="宋体" w:cs="宋体"/>
                <w:b/>
                <w:kern w:val="0"/>
                <w:szCs w:val="21"/>
              </w:rPr>
            </w:pPr>
            <w:r>
              <w:rPr>
                <w:rFonts w:hint="eastAsia" w:ascii="宋体" w:hAnsi="宋体" w:cs="宋体"/>
                <w:b/>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kern w:val="0"/>
                <w:szCs w:val="21"/>
              </w:rPr>
            </w:pPr>
          </w:p>
        </w:tc>
        <w:tc>
          <w:tcPr>
            <w:tcW w:w="387" w:type="dxa"/>
            <w:vMerge w:val="continue"/>
            <w:vAlign w:val="center"/>
          </w:tcPr>
          <w:p>
            <w:pPr>
              <w:widowControl/>
              <w:jc w:val="left"/>
              <w:rPr>
                <w:rFonts w:ascii="宋体" w:cs="宋体"/>
                <w:b/>
                <w:bCs/>
                <w:kern w:val="0"/>
                <w:szCs w:val="21"/>
              </w:rPr>
            </w:pPr>
          </w:p>
        </w:tc>
        <w:tc>
          <w:tcPr>
            <w:tcW w:w="1418" w:type="dxa"/>
            <w:vMerge w:val="continue"/>
            <w:vAlign w:val="center"/>
          </w:tcPr>
          <w:p>
            <w:pPr>
              <w:widowControl/>
              <w:jc w:val="left"/>
              <w:rPr>
                <w:rFonts w:ascii="宋体" w:cs="宋体"/>
                <w:b/>
                <w:bCs/>
                <w:kern w:val="0"/>
                <w:szCs w:val="21"/>
              </w:rPr>
            </w:pPr>
          </w:p>
        </w:tc>
        <w:tc>
          <w:tcPr>
            <w:tcW w:w="657" w:type="dxa"/>
            <w:vMerge w:val="continue"/>
            <w:vAlign w:val="center"/>
          </w:tcPr>
          <w:p>
            <w:pPr>
              <w:widowControl/>
              <w:jc w:val="left"/>
              <w:rPr>
                <w:rFonts w:ascii="宋体" w:cs="宋体"/>
                <w:b/>
                <w:bCs/>
                <w:kern w:val="0"/>
                <w:szCs w:val="21"/>
              </w:rPr>
            </w:pPr>
          </w:p>
        </w:tc>
        <w:tc>
          <w:tcPr>
            <w:tcW w:w="708" w:type="dxa"/>
            <w:vMerge w:val="continue"/>
            <w:vAlign w:val="center"/>
          </w:tcPr>
          <w:p>
            <w:pPr>
              <w:widowControl/>
              <w:jc w:val="left"/>
              <w:rPr>
                <w:rFonts w:ascii="宋体" w:cs="宋体"/>
                <w:b/>
                <w:bCs/>
                <w:kern w:val="0"/>
                <w:szCs w:val="21"/>
              </w:rPr>
            </w:pPr>
          </w:p>
        </w:tc>
        <w:tc>
          <w:tcPr>
            <w:tcW w:w="709" w:type="dxa"/>
            <w:vMerge w:val="continue"/>
            <w:vAlign w:val="center"/>
          </w:tcPr>
          <w:p>
            <w:pPr>
              <w:widowControl/>
              <w:jc w:val="left"/>
              <w:rPr>
                <w:rFonts w:ascii="宋体" w:cs="宋体"/>
                <w:b/>
                <w:bCs/>
                <w:kern w:val="0"/>
                <w:szCs w:val="21"/>
              </w:rPr>
            </w:pPr>
          </w:p>
        </w:tc>
        <w:tc>
          <w:tcPr>
            <w:tcW w:w="659" w:type="dxa"/>
            <w:vMerge w:val="continue"/>
          </w:tcPr>
          <w:p>
            <w:pPr>
              <w:widowControl/>
              <w:jc w:val="center"/>
              <w:rPr>
                <w:rFonts w:ascii="宋体" w:hAnsi="宋体" w:cs="宋体"/>
                <w:b/>
                <w:bCs/>
                <w:kern w:val="0"/>
                <w:szCs w:val="21"/>
              </w:rPr>
            </w:pPr>
          </w:p>
        </w:tc>
        <w:tc>
          <w:tcPr>
            <w:tcW w:w="713"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69"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09"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09"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41"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41"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823" w:type="dxa"/>
            <w:vMerge w:val="continue"/>
            <w:vAlign w:val="center"/>
          </w:tcPr>
          <w:p>
            <w:pPr>
              <w:widowControl/>
              <w:jc w:val="left"/>
              <w:rPr>
                <w:rFonts w:ascii="宋体" w:cs="宋体"/>
                <w:b/>
                <w:kern w:val="0"/>
                <w:szCs w:val="21"/>
              </w:rPr>
            </w:pPr>
          </w:p>
        </w:tc>
        <w:tc>
          <w:tcPr>
            <w:tcW w:w="681" w:type="dxa"/>
            <w:vMerge w:val="continue"/>
            <w:vAlign w:val="center"/>
          </w:tcPr>
          <w:p>
            <w:pPr>
              <w:widowControl/>
              <w:jc w:val="left"/>
              <w:rPr>
                <w:rFonts w:ascii="宋体" w:cs="宋体"/>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kern w:val="0"/>
                <w:szCs w:val="21"/>
              </w:rPr>
            </w:pPr>
            <w:r>
              <w:rPr>
                <w:rFonts w:hint="eastAsia" w:ascii="宋体" w:hAnsi="宋体" w:cs="宋体"/>
                <w:b/>
                <w:kern w:val="0"/>
                <w:szCs w:val="21"/>
              </w:rPr>
              <w:t>公共基础课</w:t>
            </w:r>
          </w:p>
        </w:tc>
        <w:tc>
          <w:tcPr>
            <w:tcW w:w="440" w:type="dxa"/>
            <w:vMerge w:val="restart"/>
            <w:vAlign w:val="center"/>
          </w:tcPr>
          <w:p>
            <w:pPr>
              <w:widowControl/>
              <w:jc w:val="left"/>
              <w:rPr>
                <w:rFonts w:ascii="宋体" w:cs="宋体"/>
                <w:b/>
                <w:kern w:val="0"/>
                <w:szCs w:val="21"/>
              </w:rPr>
            </w:pPr>
            <w:r>
              <w:rPr>
                <w:rFonts w:hint="eastAsia" w:ascii="宋体" w:cs="宋体"/>
                <w:b/>
                <w:kern w:val="0"/>
                <w:szCs w:val="21"/>
              </w:rPr>
              <w:t>必修课</w:t>
            </w:r>
          </w:p>
        </w:tc>
        <w:tc>
          <w:tcPr>
            <w:tcW w:w="387" w:type="dxa"/>
            <w:noWrap/>
            <w:vAlign w:val="center"/>
          </w:tcPr>
          <w:p>
            <w:pPr>
              <w:widowControl/>
              <w:jc w:val="center"/>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cs="宋体"/>
                <w:kern w:val="0"/>
                <w:szCs w:val="21"/>
              </w:rPr>
            </w:pPr>
            <w:r>
              <w:rPr>
                <w:rFonts w:hint="eastAsia" w:ascii="宋体" w:hAnsi="宋体" w:cs="宋体"/>
                <w:kern w:val="0"/>
                <w:szCs w:val="21"/>
              </w:rPr>
              <w:t>高职应用数学I</w:t>
            </w:r>
          </w:p>
        </w:tc>
        <w:tc>
          <w:tcPr>
            <w:tcW w:w="657" w:type="dxa"/>
            <w:noWrap/>
            <w:vAlign w:val="center"/>
          </w:tcPr>
          <w:p>
            <w:pPr>
              <w:widowControl/>
              <w:jc w:val="center"/>
              <w:rPr>
                <w:rFonts w:ascii="宋体" w:cs="宋体"/>
                <w:kern w:val="0"/>
                <w:szCs w:val="21"/>
              </w:rPr>
            </w:pPr>
            <w:r>
              <w:rPr>
                <w:rFonts w:ascii="宋体" w:hAnsi="宋体" w:cs="宋体"/>
                <w:kern w:val="0"/>
                <w:szCs w:val="21"/>
              </w:rPr>
              <w:t>56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56</w:t>
            </w:r>
          </w:p>
        </w:tc>
        <w:tc>
          <w:tcPr>
            <w:tcW w:w="659" w:type="dxa"/>
            <w:vAlign w:val="center"/>
          </w:tcPr>
          <w:p>
            <w:pPr>
              <w:widowControl/>
              <w:jc w:val="center"/>
              <w:rPr>
                <w:rFonts w:ascii="宋体" w:cs="宋体"/>
                <w:kern w:val="0"/>
                <w:szCs w:val="21"/>
              </w:rPr>
            </w:pPr>
            <w:r>
              <w:rPr>
                <w:rFonts w:hint="eastAsia" w:ascii="宋体" w:cs="宋体"/>
                <w:kern w:val="0"/>
                <w:szCs w:val="21"/>
              </w:rPr>
              <w:t>3.5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cs="宋体"/>
                <w:kern w:val="0"/>
                <w:szCs w:val="21"/>
              </w:rPr>
            </w:pPr>
            <w:r>
              <w:rPr>
                <w:rFonts w:hint="eastAsia" w:ascii="宋体" w:hAnsi="宋体" w:cs="宋体"/>
                <w:kern w:val="0"/>
                <w:szCs w:val="21"/>
              </w:rPr>
              <w:t>高职实用英语I</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56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56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713" w:type="dxa"/>
            <w:noWrap/>
            <w:vAlign w:val="center"/>
          </w:tcPr>
          <w:p>
            <w:pPr>
              <w:widowControl/>
              <w:jc w:val="center"/>
              <w:rPr>
                <w:rFonts w:ascii="宋体" w:cs="宋体"/>
                <w:kern w:val="0"/>
                <w:szCs w:val="21"/>
              </w:rPr>
            </w:pPr>
            <w:r>
              <w:rPr>
                <w:rFonts w:ascii="宋体" w:hAnsi="宋体" w:cs="宋体"/>
                <w:kern w:val="0"/>
                <w:szCs w:val="21"/>
              </w:rPr>
              <w:t>14*4</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笔试/项目测试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计算机应用基础</w:t>
            </w:r>
          </w:p>
        </w:tc>
        <w:tc>
          <w:tcPr>
            <w:tcW w:w="657" w:type="dxa"/>
            <w:noWrap/>
            <w:vAlign w:val="center"/>
          </w:tcPr>
          <w:p>
            <w:pPr>
              <w:widowControl/>
              <w:jc w:val="center"/>
              <w:rPr>
                <w:rFonts w:ascii="宋体" w:cs="宋体"/>
                <w:kern w:val="0"/>
                <w:szCs w:val="21"/>
              </w:rPr>
            </w:pPr>
            <w:r>
              <w:rPr>
                <w:rFonts w:ascii="宋体" w:hAnsi="宋体" w:cs="宋体"/>
                <w:kern w:val="0"/>
                <w:szCs w:val="21"/>
              </w:rPr>
              <w:t>28</w:t>
            </w:r>
          </w:p>
        </w:tc>
        <w:tc>
          <w:tcPr>
            <w:tcW w:w="708" w:type="dxa"/>
            <w:noWrap/>
            <w:vAlign w:val="center"/>
          </w:tcPr>
          <w:p>
            <w:pPr>
              <w:widowControl/>
              <w:jc w:val="center"/>
              <w:rPr>
                <w:rFonts w:ascii="宋体" w:cs="宋体"/>
                <w:kern w:val="0"/>
                <w:szCs w:val="21"/>
              </w:rPr>
            </w:pPr>
            <w:r>
              <w:rPr>
                <w:rFonts w:ascii="宋体" w:hAnsi="宋体" w:cs="宋体"/>
                <w:kern w:val="0"/>
                <w:szCs w:val="21"/>
              </w:rPr>
              <w:t>28</w:t>
            </w:r>
          </w:p>
        </w:tc>
        <w:tc>
          <w:tcPr>
            <w:tcW w:w="709" w:type="dxa"/>
            <w:noWrap/>
            <w:vAlign w:val="center"/>
          </w:tcPr>
          <w:p>
            <w:pPr>
              <w:widowControl/>
              <w:jc w:val="center"/>
              <w:rPr>
                <w:rFonts w:ascii="宋体" w:cs="宋体"/>
                <w:kern w:val="0"/>
                <w:szCs w:val="21"/>
              </w:rPr>
            </w:pPr>
            <w:r>
              <w:rPr>
                <w:rFonts w:ascii="宋体" w:hAnsi="宋体" w:cs="宋体"/>
                <w:kern w:val="0"/>
                <w:szCs w:val="21"/>
              </w:rPr>
              <w:t>56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cs="宋体"/>
                <w:kern w:val="0"/>
                <w:szCs w:val="21"/>
              </w:rPr>
            </w:pPr>
            <w:r>
              <w:rPr>
                <w:rFonts w:ascii="宋体" w:hAnsi="宋体" w:cs="宋体"/>
                <w:kern w:val="0"/>
                <w:szCs w:val="21"/>
              </w:rPr>
              <w:t>14*4</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考证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ascii="宋体" w:hAnsi="宋体" w:cs="宋体"/>
                <w:kern w:val="0"/>
                <w:szCs w:val="21"/>
              </w:rPr>
              <w:t>4</w:t>
            </w:r>
          </w:p>
        </w:tc>
        <w:tc>
          <w:tcPr>
            <w:tcW w:w="1418" w:type="dxa"/>
            <w:vAlign w:val="center"/>
          </w:tcPr>
          <w:p>
            <w:pPr>
              <w:widowControl/>
              <w:jc w:val="left"/>
              <w:rPr>
                <w:rFonts w:ascii="宋体" w:cs="宋体"/>
                <w:kern w:val="0"/>
                <w:szCs w:val="21"/>
              </w:rPr>
            </w:pPr>
            <w:r>
              <w:rPr>
                <w:rFonts w:hint="eastAsia" w:ascii="宋体" w:hAnsi="宋体" w:cs="宋体"/>
                <w:kern w:val="0"/>
                <w:szCs w:val="21"/>
              </w:rPr>
              <w:t>思想道德与法律基础</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713"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3</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ascii="宋体" w:hAnsi="宋体" w:cs="宋体"/>
                <w:kern w:val="0"/>
                <w:szCs w:val="21"/>
              </w:rPr>
              <w:t>5</w:t>
            </w:r>
          </w:p>
        </w:tc>
        <w:tc>
          <w:tcPr>
            <w:tcW w:w="1418" w:type="dxa"/>
            <w:vAlign w:val="center"/>
          </w:tcPr>
          <w:p>
            <w:pPr>
              <w:widowControl/>
              <w:jc w:val="left"/>
              <w:rPr>
                <w:rFonts w:ascii="宋体" w:cs="宋体"/>
                <w:kern w:val="0"/>
                <w:szCs w:val="21"/>
              </w:rPr>
            </w:pPr>
            <w:r>
              <w:rPr>
                <w:rFonts w:hint="eastAsia" w:ascii="宋体" w:hAnsi="宋体" w:cs="宋体"/>
                <w:kern w:val="0"/>
                <w:szCs w:val="21"/>
              </w:rPr>
              <w:t>毛泽东思想和中国特色社会主义理论体系概论</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3</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hint="eastAsia" w:ascii="宋体" w:cs="宋体"/>
                <w:kern w:val="0"/>
                <w:szCs w:val="21"/>
              </w:rPr>
              <w:t>6</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创新创业基础</w:t>
            </w:r>
          </w:p>
        </w:tc>
        <w:tc>
          <w:tcPr>
            <w:tcW w:w="657" w:type="dxa"/>
            <w:noWrap/>
            <w:vAlign w:val="center"/>
          </w:tcPr>
          <w:p>
            <w:pPr>
              <w:widowControl/>
              <w:jc w:val="center"/>
              <w:rPr>
                <w:rFonts w:ascii="宋体" w:cs="宋体"/>
                <w:kern w:val="0"/>
                <w:szCs w:val="21"/>
              </w:rPr>
            </w:pPr>
            <w:r>
              <w:rPr>
                <w:rFonts w:hint="eastAsia" w:ascii="宋体" w:cs="宋体"/>
                <w:kern w:val="0"/>
                <w:szCs w:val="21"/>
              </w:rPr>
              <w:t>48</w:t>
            </w:r>
          </w:p>
        </w:tc>
        <w:tc>
          <w:tcPr>
            <w:tcW w:w="708"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48</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hAnsi="宋体" w:cs="宋体"/>
                <w:kern w:val="0"/>
                <w:szCs w:val="21"/>
              </w:rPr>
            </w:pPr>
            <w:r>
              <w:rPr>
                <w:rFonts w:hint="eastAsia" w:ascii="宋体" w:hAnsi="宋体" w:cs="宋体"/>
                <w:kern w:val="0"/>
                <w:szCs w:val="21"/>
              </w:rPr>
              <w:t>10*2</w:t>
            </w: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14*2</w:t>
            </w: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hAnsi="宋体" w:cs="宋体"/>
                <w:kern w:val="0"/>
                <w:szCs w:val="21"/>
              </w:rPr>
            </w:pPr>
            <w:r>
              <w:rPr>
                <w:rFonts w:hint="eastAsia" w:ascii="宋体" w:hAnsi="宋体" w:cs="宋体"/>
                <w:kern w:val="0"/>
                <w:szCs w:val="21"/>
              </w:rPr>
              <w:t>实践</w:t>
            </w:r>
          </w:p>
        </w:tc>
        <w:tc>
          <w:tcPr>
            <w:tcW w:w="681" w:type="dxa"/>
            <w:noWrap/>
            <w:vAlign w:val="center"/>
          </w:tcPr>
          <w:p>
            <w:pPr>
              <w:jc w:val="left"/>
              <w:rPr>
                <w:rFonts w:ascii="宋体" w:hAnsi="宋体" w:cs="宋体"/>
                <w:kern w:val="0"/>
                <w:szCs w:val="21"/>
              </w:rPr>
            </w:pPr>
            <w:r>
              <w:rPr>
                <w:rFonts w:hint="eastAsia" w:ascii="宋体" w:hAnsi="宋体" w:cs="宋体"/>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7</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心理健康</w:t>
            </w:r>
          </w:p>
        </w:tc>
        <w:tc>
          <w:tcPr>
            <w:tcW w:w="657" w:type="dxa"/>
            <w:noWrap/>
            <w:vAlign w:val="center"/>
          </w:tcPr>
          <w:p>
            <w:pPr>
              <w:widowControl/>
              <w:jc w:val="center"/>
              <w:rPr>
                <w:rFonts w:ascii="宋体" w:cs="宋体"/>
                <w:kern w:val="0"/>
                <w:szCs w:val="21"/>
              </w:rPr>
            </w:pPr>
            <w:r>
              <w:rPr>
                <w:rFonts w:hint="eastAsia" w:ascii="宋体" w:cs="宋体"/>
                <w:kern w:val="0"/>
                <w:szCs w:val="21"/>
              </w:rPr>
              <w:t>16</w:t>
            </w:r>
          </w:p>
        </w:tc>
        <w:tc>
          <w:tcPr>
            <w:tcW w:w="708"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hAnsi="宋体" w:cs="宋体"/>
                <w:kern w:val="0"/>
                <w:szCs w:val="21"/>
              </w:rPr>
            </w:pPr>
            <w:r>
              <w:rPr>
                <w:rFonts w:hint="eastAsia" w:ascii="宋体" w:hAnsi="宋体" w:cs="宋体"/>
                <w:kern w:val="0"/>
                <w:szCs w:val="21"/>
              </w:rPr>
              <w:t>笔试</w:t>
            </w:r>
          </w:p>
        </w:tc>
        <w:tc>
          <w:tcPr>
            <w:tcW w:w="681" w:type="dxa"/>
            <w:noWrap/>
            <w:vAlign w:val="center"/>
          </w:tcPr>
          <w:p>
            <w:pPr>
              <w:jc w:val="left"/>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1418" w:type="dxa"/>
            <w:vAlign w:val="center"/>
          </w:tcPr>
          <w:p>
            <w:pPr>
              <w:widowControl/>
              <w:jc w:val="left"/>
              <w:rPr>
                <w:rFonts w:ascii="宋体" w:cs="宋体"/>
                <w:kern w:val="0"/>
                <w:szCs w:val="21"/>
              </w:rPr>
            </w:pPr>
            <w:r>
              <w:rPr>
                <w:rFonts w:hint="eastAsia" w:ascii="宋体" w:hAnsi="宋体" w:cs="宋体"/>
                <w:kern w:val="0"/>
                <w:szCs w:val="21"/>
              </w:rPr>
              <w:t>大学生职业发展与就业指导</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28</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28</w:t>
            </w:r>
          </w:p>
        </w:tc>
        <w:tc>
          <w:tcPr>
            <w:tcW w:w="659" w:type="dxa"/>
            <w:vAlign w:val="center"/>
          </w:tcPr>
          <w:p>
            <w:pPr>
              <w:widowControl/>
              <w:jc w:val="center"/>
              <w:rPr>
                <w:rFonts w:ascii="宋体" w:cs="宋体"/>
                <w:kern w:val="0"/>
                <w:szCs w:val="21"/>
              </w:rPr>
            </w:pPr>
            <w:r>
              <w:rPr>
                <w:rFonts w:hint="eastAsia" w:ascii="宋体" w:cs="宋体"/>
                <w:kern w:val="0"/>
                <w:szCs w:val="21"/>
              </w:rPr>
              <w:t>1.5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7*2</w:t>
            </w:r>
          </w:p>
        </w:tc>
        <w:tc>
          <w:tcPr>
            <w:tcW w:w="709" w:type="dxa"/>
            <w:noWrap/>
            <w:vAlign w:val="center"/>
          </w:tcPr>
          <w:p>
            <w:pPr>
              <w:widowControl/>
              <w:jc w:val="center"/>
              <w:rPr>
                <w:rFonts w:ascii="宋体" w:cs="宋体"/>
                <w:kern w:val="0"/>
                <w:szCs w:val="21"/>
              </w:rPr>
            </w:pPr>
            <w:r>
              <w:rPr>
                <w:rFonts w:hint="eastAsia" w:ascii="宋体" w:cs="宋体"/>
                <w:kern w:val="0"/>
                <w:szCs w:val="21"/>
              </w:rPr>
              <w:t>7*2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hint="eastAsia" w:ascii="宋体" w:hAnsi="宋体" w:cs="宋体"/>
                <w:kern w:val="0"/>
                <w:szCs w:val="21"/>
              </w:rPr>
              <w:t>9</w:t>
            </w:r>
          </w:p>
        </w:tc>
        <w:tc>
          <w:tcPr>
            <w:tcW w:w="1418" w:type="dxa"/>
            <w:vAlign w:val="center"/>
          </w:tcPr>
          <w:p>
            <w:pPr>
              <w:widowControl/>
              <w:jc w:val="left"/>
              <w:rPr>
                <w:rFonts w:ascii="宋体" w:cs="宋体"/>
                <w:kern w:val="0"/>
                <w:szCs w:val="21"/>
              </w:rPr>
            </w:pPr>
            <w:r>
              <w:rPr>
                <w:rFonts w:hint="eastAsia" w:ascii="宋体" w:hAnsi="宋体" w:cs="宋体"/>
                <w:kern w:val="0"/>
                <w:szCs w:val="21"/>
              </w:rPr>
              <w:t>专业英语</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12</w:t>
            </w:r>
            <w:r>
              <w:rPr>
                <w:rFonts w:ascii="宋体" w:hAnsi="宋体" w:cs="宋体"/>
                <w:kern w:val="0"/>
                <w:szCs w:val="21"/>
              </w:rPr>
              <w:t>*2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hint="eastAsia" w:ascii="宋体" w:hAnsi="宋体" w:cs="宋体"/>
                <w:kern w:val="0"/>
                <w:szCs w:val="21"/>
              </w:rPr>
              <w:t>10</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应用文写作</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11</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沟通与交流</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0.5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4*2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1418" w:type="dxa"/>
            <w:vAlign w:val="center"/>
          </w:tcPr>
          <w:p>
            <w:pPr>
              <w:widowControl/>
              <w:jc w:val="left"/>
              <w:rPr>
                <w:rFonts w:ascii="宋体" w:cs="宋体"/>
                <w:kern w:val="0"/>
                <w:szCs w:val="21"/>
              </w:rPr>
            </w:pPr>
            <w:r>
              <w:rPr>
                <w:rFonts w:hint="eastAsia" w:ascii="宋体" w:hAnsi="宋体" w:cs="宋体"/>
                <w:kern w:val="0"/>
                <w:szCs w:val="21"/>
              </w:rPr>
              <w:t>形势与政策</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16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16</w:t>
            </w:r>
          </w:p>
        </w:tc>
        <w:tc>
          <w:tcPr>
            <w:tcW w:w="659" w:type="dxa"/>
            <w:vAlign w:val="center"/>
          </w:tcPr>
          <w:p>
            <w:pPr>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jc w:val="center"/>
              <w:rPr>
                <w:rFonts w:ascii="宋体" w:cs="宋体"/>
                <w:kern w:val="0"/>
                <w:szCs w:val="21"/>
              </w:rPr>
            </w:pPr>
            <w:r>
              <w:rPr>
                <w:rFonts w:ascii="宋体" w:hAnsi="宋体" w:cs="宋体"/>
                <w:kern w:val="0"/>
                <w:szCs w:val="21"/>
              </w:rPr>
              <w:t>4*</w:t>
            </w:r>
            <w:r>
              <w:rPr>
                <w:rFonts w:hint="eastAsia" w:ascii="宋体" w:hAnsi="宋体" w:cs="宋体"/>
                <w:kern w:val="0"/>
                <w:szCs w:val="21"/>
              </w:rPr>
              <w:t>2</w:t>
            </w:r>
          </w:p>
        </w:tc>
        <w:tc>
          <w:tcPr>
            <w:tcW w:w="769" w:type="dxa"/>
            <w:noWrap/>
            <w:vAlign w:val="center"/>
          </w:tcPr>
          <w:p>
            <w:pPr>
              <w:jc w:val="center"/>
              <w:rPr>
                <w:rFonts w:ascii="宋体" w:cs="宋体"/>
                <w:kern w:val="0"/>
                <w:szCs w:val="21"/>
              </w:rPr>
            </w:pPr>
            <w:r>
              <w:rPr>
                <w:rFonts w:ascii="宋体" w:hAnsi="宋体" w:cs="宋体"/>
                <w:kern w:val="0"/>
                <w:szCs w:val="21"/>
              </w:rPr>
              <w:t>4*</w:t>
            </w:r>
            <w:r>
              <w:rPr>
                <w:rFonts w:hint="eastAsia" w:ascii="宋体" w:hAnsi="宋体" w:cs="宋体"/>
                <w:kern w:val="0"/>
                <w:szCs w:val="21"/>
              </w:rPr>
              <w:t>2</w:t>
            </w: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cs="宋体"/>
                <w:kern w:val="0"/>
                <w:szCs w:val="21"/>
              </w:rPr>
              <w:t>项目测试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2245" w:type="dxa"/>
            <w:gridSpan w:val="3"/>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57" w:type="dxa"/>
            <w:noWrap/>
            <w:vAlign w:val="center"/>
          </w:tcPr>
          <w:p>
            <w:pPr>
              <w:jc w:val="center"/>
              <w:rPr>
                <w:rFonts w:cs="宋体" w:asciiTheme="minorEastAsia" w:hAnsiTheme="minorEastAsia"/>
                <w:b/>
                <w:bCs/>
                <w:szCs w:val="21"/>
              </w:rPr>
            </w:pPr>
            <w:r>
              <w:rPr>
                <w:rFonts w:hint="eastAsia" w:asciiTheme="minorEastAsia" w:hAnsiTheme="minorEastAsia"/>
                <w:b/>
                <w:bCs/>
                <w:szCs w:val="21"/>
              </w:rPr>
              <w:t>380</w:t>
            </w:r>
          </w:p>
        </w:tc>
        <w:tc>
          <w:tcPr>
            <w:tcW w:w="708" w:type="dxa"/>
            <w:noWrap/>
            <w:vAlign w:val="center"/>
          </w:tcPr>
          <w:p>
            <w:pPr>
              <w:jc w:val="center"/>
              <w:rPr>
                <w:rFonts w:cs="宋体" w:asciiTheme="minorEastAsia" w:hAnsiTheme="minorEastAsia"/>
                <w:b/>
                <w:bCs/>
                <w:szCs w:val="21"/>
              </w:rPr>
            </w:pPr>
            <w:r>
              <w:rPr>
                <w:rFonts w:asciiTheme="minorEastAsia" w:hAnsiTheme="minorEastAsia"/>
                <w:b/>
                <w:bCs/>
                <w:szCs w:val="21"/>
              </w:rPr>
              <w:t>28</w:t>
            </w:r>
          </w:p>
        </w:tc>
        <w:tc>
          <w:tcPr>
            <w:tcW w:w="709" w:type="dxa"/>
            <w:noWrap/>
            <w:vAlign w:val="center"/>
          </w:tcPr>
          <w:p>
            <w:pPr>
              <w:jc w:val="center"/>
              <w:rPr>
                <w:rFonts w:cs="宋体" w:asciiTheme="minorEastAsia" w:hAnsiTheme="minorEastAsia"/>
                <w:b/>
                <w:bCs/>
                <w:szCs w:val="21"/>
              </w:rPr>
            </w:pPr>
            <w:r>
              <w:rPr>
                <w:rFonts w:asciiTheme="minorEastAsia" w:hAnsiTheme="minorEastAsia"/>
                <w:b/>
                <w:bCs/>
                <w:szCs w:val="21"/>
              </w:rPr>
              <w:t>4</w:t>
            </w:r>
            <w:r>
              <w:rPr>
                <w:rFonts w:hint="eastAsia" w:asciiTheme="minorEastAsia" w:hAnsiTheme="minorEastAsia"/>
                <w:b/>
                <w:bCs/>
                <w:szCs w:val="21"/>
              </w:rPr>
              <w:t>08</w:t>
            </w:r>
          </w:p>
        </w:tc>
        <w:tc>
          <w:tcPr>
            <w:tcW w:w="659" w:type="dxa"/>
            <w:vAlign w:val="center"/>
          </w:tcPr>
          <w:p>
            <w:pPr>
              <w:jc w:val="center"/>
              <w:rPr>
                <w:rFonts w:cs="宋体" w:asciiTheme="minorEastAsia" w:hAnsiTheme="minorEastAsia"/>
                <w:b/>
                <w:bCs/>
                <w:szCs w:val="21"/>
              </w:rPr>
            </w:pPr>
            <w:r>
              <w:rPr>
                <w:rFonts w:asciiTheme="minorEastAsia" w:hAnsiTheme="minorEastAsia"/>
                <w:b/>
                <w:bCs/>
                <w:szCs w:val="21"/>
              </w:rPr>
              <w:t>2</w:t>
            </w:r>
            <w:r>
              <w:rPr>
                <w:rFonts w:hint="eastAsia" w:asciiTheme="minorEastAsia" w:hAnsiTheme="minorEastAsia"/>
                <w:b/>
                <w:bCs/>
                <w:szCs w:val="21"/>
              </w:rPr>
              <w:t>4</w:t>
            </w:r>
            <w:r>
              <w:rPr>
                <w:rFonts w:asciiTheme="minorEastAsia" w:hAnsiTheme="minorEastAsia"/>
                <w:b/>
                <w:bCs/>
                <w:szCs w:val="21"/>
              </w:rPr>
              <w:t>.5</w:t>
            </w:r>
          </w:p>
        </w:tc>
        <w:tc>
          <w:tcPr>
            <w:tcW w:w="713" w:type="dxa"/>
            <w:noWrap/>
            <w:vAlign w:val="center"/>
          </w:tcPr>
          <w:p>
            <w:pPr>
              <w:jc w:val="center"/>
              <w:rPr>
                <w:rFonts w:ascii="宋体" w:hAnsi="宋体" w:cs="宋体"/>
                <w:kern w:val="0"/>
                <w:szCs w:val="21"/>
              </w:rPr>
            </w:pP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restart"/>
            <w:vAlign w:val="center"/>
          </w:tcPr>
          <w:p>
            <w:pPr>
              <w:widowControl/>
              <w:jc w:val="left"/>
              <w:rPr>
                <w:rFonts w:ascii="宋体" w:cs="宋体"/>
                <w:kern w:val="0"/>
                <w:szCs w:val="21"/>
              </w:rPr>
            </w:pPr>
            <w:r>
              <w:rPr>
                <w:rFonts w:hint="eastAsia" w:ascii="宋体" w:hAnsi="宋体" w:cs="宋体"/>
                <w:b/>
                <w:bCs/>
                <w:kern w:val="0"/>
                <w:szCs w:val="21"/>
              </w:rPr>
              <w:t>选修课</w:t>
            </w: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军事理论</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59" w:type="dxa"/>
            <w:vAlign w:val="center"/>
          </w:tcPr>
          <w:p>
            <w:pPr>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jc w:val="center"/>
              <w:rPr>
                <w:rFonts w:ascii="宋体" w:hAnsi="宋体" w:cs="宋体"/>
                <w:kern w:val="0"/>
                <w:szCs w:val="21"/>
              </w:rPr>
            </w:pPr>
            <w:r>
              <w:rPr>
                <w:rFonts w:hint="eastAsia" w:ascii="宋体" w:hAnsi="宋体" w:cs="宋体"/>
                <w:kern w:val="0"/>
                <w:szCs w:val="21"/>
              </w:rPr>
              <w:t>36</w:t>
            </w: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优秀传统文化</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59" w:type="dxa"/>
            <w:vAlign w:val="center"/>
          </w:tcPr>
          <w:p>
            <w:pPr>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jc w:val="center"/>
              <w:rPr>
                <w:rFonts w:ascii="宋体" w:hAnsi="宋体" w:cs="宋体"/>
                <w:kern w:val="0"/>
                <w:szCs w:val="21"/>
              </w:rPr>
            </w:pP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r>
              <w:rPr>
                <w:rFonts w:hint="eastAsia" w:ascii="宋体" w:hAnsi="宋体" w:cs="宋体"/>
                <w:kern w:val="0"/>
                <w:szCs w:val="21"/>
              </w:rPr>
              <w:t>36</w:t>
            </w: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418" w:type="dxa"/>
            <w:vAlign w:val="center"/>
          </w:tcPr>
          <w:p>
            <w:pPr>
              <w:widowControl/>
              <w:jc w:val="left"/>
              <w:rPr>
                <w:rFonts w:ascii="宋体" w:hAnsi="宋体" w:cs="宋体"/>
                <w:b/>
                <w:bCs/>
                <w:kern w:val="0"/>
                <w:szCs w:val="21"/>
              </w:rPr>
            </w:pPr>
            <w:r>
              <w:rPr>
                <w:rFonts w:hint="eastAsia" w:ascii="宋体" w:hAnsi="宋体" w:eastAsia="宋体" w:cs="宋体"/>
                <w:bCs/>
                <w:kern w:val="0"/>
                <w:szCs w:val="21"/>
              </w:rPr>
              <w:t>超星尔雅选修课1</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08"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5.5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09" w:type="dxa"/>
            <w:noWrap/>
            <w:vAlign w:val="center"/>
          </w:tcPr>
          <w:p>
            <w:pPr>
              <w:widowControl/>
              <w:jc w:val="center"/>
              <w:rPr>
                <w:rFonts w:ascii="宋体" w:hAnsi="宋体" w:cs="宋体"/>
                <w:kern w:val="0"/>
                <w:szCs w:val="21"/>
              </w:rPr>
            </w:pPr>
          </w:p>
        </w:tc>
        <w:tc>
          <w:tcPr>
            <w:tcW w:w="709" w:type="dxa"/>
            <w:noWrap/>
            <w:vAlign w:val="center"/>
          </w:tcPr>
          <w:p>
            <w:pPr>
              <w:jc w:val="center"/>
              <w:rPr>
                <w:rFonts w:cs="宋体" w:asciiTheme="minorEastAsia" w:hAnsiTheme="minorEastAsia"/>
                <w:b/>
                <w:bCs/>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1418" w:type="dxa"/>
            <w:vAlign w:val="center"/>
          </w:tcPr>
          <w:p>
            <w:pPr>
              <w:widowControl/>
              <w:jc w:val="left"/>
              <w:rPr>
                <w:rFonts w:ascii="宋体" w:hAnsi="宋体" w:cs="宋体"/>
                <w:b/>
                <w:bCs/>
                <w:kern w:val="0"/>
                <w:szCs w:val="21"/>
              </w:rPr>
            </w:pPr>
            <w:r>
              <w:rPr>
                <w:rFonts w:hint="eastAsia" w:ascii="宋体" w:hAnsi="宋体" w:eastAsia="宋体" w:cs="宋体"/>
                <w:bCs/>
                <w:kern w:val="0"/>
                <w:szCs w:val="21"/>
              </w:rPr>
              <w:t>超星尔雅选修课2</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08"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5.5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2245" w:type="dxa"/>
            <w:gridSpan w:val="3"/>
            <w:vAlign w:val="center"/>
          </w:tcPr>
          <w:p>
            <w:pPr>
              <w:widowControl/>
              <w:jc w:val="center"/>
              <w:rPr>
                <w:rFonts w:ascii="宋体" w:hAnsi="宋体" w:eastAsia="宋体" w:cs="宋体"/>
                <w:bCs/>
                <w:kern w:val="0"/>
                <w:szCs w:val="21"/>
              </w:rPr>
            </w:pPr>
            <w:r>
              <w:rPr>
                <w:rFonts w:hint="eastAsia" w:ascii="宋体" w:hAnsi="宋体" w:cs="宋体"/>
                <w:b/>
                <w:bCs/>
                <w:kern w:val="0"/>
                <w:szCs w:val="21"/>
              </w:rPr>
              <w:t>小计</w:t>
            </w:r>
          </w:p>
        </w:tc>
        <w:tc>
          <w:tcPr>
            <w:tcW w:w="657" w:type="dxa"/>
            <w:noWrap/>
            <w:vAlign w:val="center"/>
          </w:tcPr>
          <w:p>
            <w:pPr>
              <w:jc w:val="center"/>
              <w:rPr>
                <w:rFonts w:asciiTheme="minorEastAsia" w:hAnsiTheme="minorEastAsia"/>
                <w:b/>
                <w:bCs/>
                <w:szCs w:val="21"/>
              </w:rPr>
            </w:pPr>
            <w:r>
              <w:rPr>
                <w:rFonts w:hint="eastAsia" w:asciiTheme="minorEastAsia" w:hAnsiTheme="minorEastAsia"/>
                <w:b/>
                <w:bCs/>
                <w:szCs w:val="21"/>
              </w:rPr>
              <w:t>252</w:t>
            </w:r>
          </w:p>
        </w:tc>
        <w:tc>
          <w:tcPr>
            <w:tcW w:w="708" w:type="dxa"/>
            <w:noWrap/>
            <w:vAlign w:val="center"/>
          </w:tcPr>
          <w:p>
            <w:pPr>
              <w:jc w:val="center"/>
              <w:rPr>
                <w:rFonts w:asciiTheme="minorEastAsia" w:hAnsiTheme="minorEastAsia"/>
                <w:b/>
                <w:bCs/>
                <w:szCs w:val="21"/>
              </w:rPr>
            </w:pPr>
          </w:p>
        </w:tc>
        <w:tc>
          <w:tcPr>
            <w:tcW w:w="709" w:type="dxa"/>
            <w:noWrap/>
            <w:vAlign w:val="center"/>
          </w:tcPr>
          <w:p>
            <w:pPr>
              <w:jc w:val="center"/>
              <w:rPr>
                <w:rFonts w:asciiTheme="minorEastAsia" w:hAnsiTheme="minorEastAsia"/>
                <w:b/>
                <w:bCs/>
                <w:szCs w:val="21"/>
              </w:rPr>
            </w:pPr>
            <w:r>
              <w:rPr>
                <w:rFonts w:hint="eastAsia" w:asciiTheme="minorEastAsia" w:hAnsiTheme="minorEastAsia"/>
                <w:b/>
                <w:bCs/>
                <w:szCs w:val="21"/>
              </w:rPr>
              <w:t>252</w:t>
            </w:r>
          </w:p>
        </w:tc>
        <w:tc>
          <w:tcPr>
            <w:tcW w:w="659" w:type="dxa"/>
            <w:vAlign w:val="center"/>
          </w:tcPr>
          <w:p>
            <w:pPr>
              <w:jc w:val="center"/>
              <w:rPr>
                <w:rFonts w:asciiTheme="minorEastAsia" w:hAnsiTheme="minorEastAsia"/>
                <w:b/>
                <w:bCs/>
                <w:szCs w:val="21"/>
              </w:rPr>
            </w:pPr>
            <w:r>
              <w:rPr>
                <w:rFonts w:hint="eastAsia" w:asciiTheme="minorEastAsia" w:hAnsiTheme="minorEastAsia"/>
                <w:b/>
                <w:bCs/>
                <w:szCs w:val="21"/>
              </w:rPr>
              <w:t>15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2684" w:type="dxa"/>
            <w:gridSpan w:val="5"/>
            <w:vAlign w:val="center"/>
          </w:tcPr>
          <w:p>
            <w:pPr>
              <w:widowControl/>
              <w:jc w:val="center"/>
              <w:rPr>
                <w:rFonts w:ascii="宋体" w:hAnsi="宋体" w:cs="宋体"/>
                <w:b/>
                <w:bCs/>
                <w:kern w:val="0"/>
                <w:szCs w:val="21"/>
              </w:rPr>
            </w:pPr>
            <w:r>
              <w:rPr>
                <w:rFonts w:hint="eastAsia" w:ascii="宋体" w:hAnsi="宋体" w:cs="宋体"/>
                <w:b/>
                <w:bCs/>
                <w:kern w:val="0"/>
                <w:szCs w:val="21"/>
              </w:rPr>
              <w:t>合计</w:t>
            </w:r>
          </w:p>
        </w:tc>
        <w:tc>
          <w:tcPr>
            <w:tcW w:w="657" w:type="dxa"/>
            <w:noWrap/>
            <w:vAlign w:val="center"/>
          </w:tcPr>
          <w:p>
            <w:pPr>
              <w:jc w:val="center"/>
              <w:rPr>
                <w:rFonts w:asciiTheme="minorEastAsia" w:hAnsiTheme="minorEastAsia"/>
                <w:b/>
                <w:bCs/>
                <w:szCs w:val="21"/>
              </w:rPr>
            </w:pPr>
            <w:r>
              <w:rPr>
                <w:rFonts w:hint="eastAsia" w:asciiTheme="minorEastAsia" w:hAnsiTheme="minorEastAsia"/>
                <w:b/>
                <w:bCs/>
                <w:szCs w:val="21"/>
              </w:rPr>
              <w:t>632</w:t>
            </w:r>
          </w:p>
        </w:tc>
        <w:tc>
          <w:tcPr>
            <w:tcW w:w="708" w:type="dxa"/>
            <w:noWrap/>
            <w:vAlign w:val="center"/>
          </w:tcPr>
          <w:p>
            <w:pPr>
              <w:jc w:val="center"/>
              <w:rPr>
                <w:rFonts w:asciiTheme="minorEastAsia" w:hAnsiTheme="minorEastAsia"/>
                <w:b/>
                <w:bCs/>
                <w:szCs w:val="21"/>
              </w:rPr>
            </w:pPr>
            <w:r>
              <w:rPr>
                <w:rFonts w:hint="eastAsia" w:asciiTheme="minorEastAsia" w:hAnsiTheme="minorEastAsia"/>
                <w:b/>
                <w:bCs/>
                <w:szCs w:val="21"/>
              </w:rPr>
              <w:t>28</w:t>
            </w:r>
          </w:p>
        </w:tc>
        <w:tc>
          <w:tcPr>
            <w:tcW w:w="709" w:type="dxa"/>
            <w:noWrap/>
            <w:vAlign w:val="center"/>
          </w:tcPr>
          <w:p>
            <w:pPr>
              <w:jc w:val="center"/>
              <w:rPr>
                <w:rFonts w:asciiTheme="minorEastAsia" w:hAnsiTheme="minorEastAsia"/>
                <w:b/>
                <w:bCs/>
                <w:szCs w:val="21"/>
              </w:rPr>
            </w:pPr>
            <w:r>
              <w:rPr>
                <w:rFonts w:hint="eastAsia" w:asciiTheme="minorEastAsia" w:hAnsiTheme="minorEastAsia"/>
                <w:b/>
                <w:bCs/>
                <w:szCs w:val="21"/>
              </w:rPr>
              <w:t>660</w:t>
            </w:r>
          </w:p>
        </w:tc>
        <w:tc>
          <w:tcPr>
            <w:tcW w:w="659" w:type="dxa"/>
            <w:vAlign w:val="center"/>
          </w:tcPr>
          <w:p>
            <w:pPr>
              <w:jc w:val="center"/>
              <w:rPr>
                <w:rFonts w:asciiTheme="minorEastAsia" w:hAnsiTheme="minorEastAsia"/>
                <w:b/>
                <w:bCs/>
                <w:szCs w:val="21"/>
              </w:rPr>
            </w:pPr>
            <w:r>
              <w:rPr>
                <w:rFonts w:hint="eastAsia" w:asciiTheme="minorEastAsia" w:hAnsiTheme="minorEastAsia"/>
                <w:b/>
                <w:bCs/>
                <w:szCs w:val="21"/>
              </w:rPr>
              <w:t>39.5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kern w:val="0"/>
                <w:szCs w:val="21"/>
              </w:rPr>
            </w:pPr>
            <w:r>
              <w:rPr>
                <w:rFonts w:hint="eastAsia" w:ascii="宋体" w:cs="宋体"/>
                <w:kern w:val="0"/>
                <w:szCs w:val="21"/>
              </w:rPr>
              <w:t>专业</w:t>
            </w:r>
          </w:p>
          <w:p>
            <w:pPr>
              <w:widowControl/>
              <w:jc w:val="left"/>
              <w:rPr>
                <w:rFonts w:ascii="宋体" w:cs="宋体"/>
                <w:kern w:val="0"/>
                <w:szCs w:val="21"/>
              </w:rPr>
            </w:pPr>
            <w:r>
              <w:rPr>
                <w:rFonts w:hint="eastAsia" w:ascii="宋体" w:hAnsi="宋体" w:eastAsia="宋体" w:cs="宋体"/>
                <w:kern w:val="0"/>
                <w:szCs w:val="21"/>
              </w:rPr>
              <w:t>︵</w:t>
            </w:r>
            <w:r>
              <w:rPr>
                <w:rFonts w:hint="eastAsia" w:ascii="宋体" w:cs="宋体"/>
                <w:kern w:val="0"/>
                <w:szCs w:val="21"/>
              </w:rPr>
              <w:t>技能</w:t>
            </w:r>
          </w:p>
          <w:p>
            <w:pPr>
              <w:widowControl/>
              <w:jc w:val="left"/>
              <w:rPr>
                <w:rFonts w:ascii="宋体" w:cs="宋体"/>
                <w:kern w:val="0"/>
                <w:szCs w:val="21"/>
              </w:rPr>
            </w:pPr>
            <w:r>
              <w:rPr>
                <w:rFonts w:hint="eastAsia" w:cs="宋体" w:asciiTheme="minorEastAsia" w:hAnsiTheme="minorEastAsia"/>
                <w:kern w:val="0"/>
                <w:szCs w:val="21"/>
              </w:rPr>
              <w:t>︶</w:t>
            </w:r>
            <w:r>
              <w:rPr>
                <w:rFonts w:hint="eastAsia" w:ascii="宋体" w:cs="宋体"/>
                <w:kern w:val="0"/>
                <w:szCs w:val="21"/>
              </w:rPr>
              <w:t>课</w:t>
            </w:r>
          </w:p>
        </w:tc>
        <w:tc>
          <w:tcPr>
            <w:tcW w:w="453" w:type="dxa"/>
            <w:gridSpan w:val="2"/>
            <w:vMerge w:val="restart"/>
            <w:vAlign w:val="center"/>
          </w:tcPr>
          <w:p>
            <w:pPr>
              <w:widowControl/>
              <w:jc w:val="left"/>
              <w:rPr>
                <w:rFonts w:ascii="宋体" w:cs="宋体"/>
                <w:kern w:val="0"/>
                <w:szCs w:val="21"/>
              </w:rPr>
            </w:pPr>
            <w:r>
              <w:rPr>
                <w:rFonts w:hint="eastAsia" w:ascii="宋体" w:hAnsi="宋体" w:cs="宋体"/>
                <w:kern w:val="0"/>
                <w:szCs w:val="21"/>
              </w:rPr>
              <w:t>专业基础课</w:t>
            </w:r>
          </w:p>
        </w:tc>
        <w:tc>
          <w:tcPr>
            <w:tcW w:w="387" w:type="dxa"/>
            <w:noWrap/>
            <w:vAlign w:val="center"/>
          </w:tcPr>
          <w:p>
            <w:pPr>
              <w:widowControl/>
              <w:jc w:val="left"/>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cs="宋体"/>
                <w:kern w:val="0"/>
                <w:szCs w:val="21"/>
              </w:rPr>
            </w:pPr>
            <w:r>
              <w:rPr>
                <w:rFonts w:hint="eastAsia" w:ascii="宋体" w:hAnsi="宋体" w:cs="宋体"/>
                <w:kern w:val="0"/>
                <w:szCs w:val="21"/>
              </w:rPr>
              <w:t>基础化学</w:t>
            </w:r>
          </w:p>
        </w:tc>
        <w:tc>
          <w:tcPr>
            <w:tcW w:w="657" w:type="dxa"/>
            <w:noWrap/>
            <w:vAlign w:val="center"/>
          </w:tcPr>
          <w:p>
            <w:pPr>
              <w:widowControl/>
              <w:jc w:val="left"/>
              <w:rPr>
                <w:rFonts w:ascii="宋体" w:cs="宋体"/>
                <w:kern w:val="0"/>
                <w:szCs w:val="21"/>
              </w:rPr>
            </w:pPr>
            <w:r>
              <w:rPr>
                <w:rFonts w:ascii="宋体" w:cs="宋体"/>
                <w:kern w:val="0"/>
                <w:szCs w:val="21"/>
              </w:rPr>
              <w:t>60</w:t>
            </w:r>
          </w:p>
        </w:tc>
        <w:tc>
          <w:tcPr>
            <w:tcW w:w="708" w:type="dxa"/>
            <w:noWrap/>
            <w:vAlign w:val="center"/>
          </w:tcPr>
          <w:p>
            <w:pPr>
              <w:widowControl/>
              <w:jc w:val="left"/>
              <w:rPr>
                <w:rFonts w:ascii="宋体" w:cs="宋体"/>
                <w:kern w:val="0"/>
                <w:szCs w:val="21"/>
              </w:rPr>
            </w:pPr>
            <w:r>
              <w:rPr>
                <w:rFonts w:ascii="宋体" w:cs="宋体"/>
                <w:kern w:val="0"/>
                <w:szCs w:val="21"/>
              </w:rPr>
              <w:t>24</w:t>
            </w:r>
          </w:p>
        </w:tc>
        <w:tc>
          <w:tcPr>
            <w:tcW w:w="709" w:type="dxa"/>
            <w:noWrap/>
            <w:vAlign w:val="center"/>
          </w:tcPr>
          <w:p>
            <w:pPr>
              <w:widowControl/>
              <w:jc w:val="left"/>
              <w:rPr>
                <w:rFonts w:ascii="宋体" w:cs="宋体"/>
                <w:kern w:val="0"/>
                <w:szCs w:val="21"/>
              </w:rPr>
            </w:pPr>
            <w:r>
              <w:rPr>
                <w:rFonts w:ascii="宋体" w:cs="宋体"/>
                <w:kern w:val="0"/>
                <w:szCs w:val="21"/>
              </w:rPr>
              <w:t>84</w:t>
            </w:r>
          </w:p>
        </w:tc>
        <w:tc>
          <w:tcPr>
            <w:tcW w:w="659" w:type="dxa"/>
            <w:vAlign w:val="center"/>
          </w:tcPr>
          <w:p>
            <w:pPr>
              <w:widowControl/>
              <w:jc w:val="center"/>
              <w:rPr>
                <w:b/>
                <w:bCs/>
                <w:szCs w:val="21"/>
              </w:rPr>
            </w:pPr>
            <w:r>
              <w:rPr>
                <w:rFonts w:hint="eastAsia"/>
                <w:b/>
                <w:bCs/>
                <w:szCs w:val="21"/>
              </w:rPr>
              <w:t>4.5</w:t>
            </w:r>
          </w:p>
        </w:tc>
        <w:tc>
          <w:tcPr>
            <w:tcW w:w="713" w:type="dxa"/>
            <w:noWrap/>
            <w:vAlign w:val="center"/>
          </w:tcPr>
          <w:p>
            <w:pPr>
              <w:widowControl/>
              <w:jc w:val="left"/>
              <w:rPr>
                <w:rFonts w:ascii="宋体" w:cs="宋体"/>
                <w:kern w:val="0"/>
                <w:szCs w:val="21"/>
              </w:rPr>
            </w:pPr>
            <w:r>
              <w:rPr>
                <w:rFonts w:hint="eastAsia" w:ascii="宋体" w:hAnsi="宋体"/>
                <w:szCs w:val="21"/>
              </w:rPr>
              <w:t>14*</w:t>
            </w:r>
            <w:r>
              <w:rPr>
                <w:rFonts w:ascii="宋体" w:hAnsi="宋体"/>
                <w:szCs w:val="21"/>
              </w:rPr>
              <w:t>6</w:t>
            </w: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left"/>
              <w:rPr>
                <w:rFonts w:ascii="宋体" w:cs="宋体"/>
                <w:kern w:val="0"/>
                <w:szCs w:val="21"/>
              </w:rPr>
            </w:pPr>
            <w:r>
              <w:rPr>
                <w:rFonts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cs="宋体"/>
                <w:kern w:val="0"/>
                <w:szCs w:val="21"/>
              </w:rPr>
            </w:pPr>
            <w:r>
              <w:rPr>
                <w:rFonts w:hint="eastAsia" w:ascii="宋体" w:hAnsi="宋体" w:cs="宋体"/>
                <w:kern w:val="0"/>
                <w:szCs w:val="21"/>
              </w:rPr>
              <w:t>化工制图</w:t>
            </w:r>
          </w:p>
        </w:tc>
        <w:tc>
          <w:tcPr>
            <w:tcW w:w="657" w:type="dxa"/>
            <w:noWrap/>
            <w:vAlign w:val="center"/>
          </w:tcPr>
          <w:p>
            <w:pPr>
              <w:widowControl/>
              <w:jc w:val="left"/>
              <w:rPr>
                <w:rFonts w:ascii="宋体" w:cs="宋体"/>
                <w:kern w:val="0"/>
                <w:szCs w:val="21"/>
              </w:rPr>
            </w:pPr>
            <w:r>
              <w:rPr>
                <w:rFonts w:ascii="宋体" w:cs="宋体"/>
                <w:kern w:val="0"/>
                <w:szCs w:val="21"/>
              </w:rPr>
              <w:t>58</w:t>
            </w:r>
          </w:p>
        </w:tc>
        <w:tc>
          <w:tcPr>
            <w:tcW w:w="708" w:type="dxa"/>
            <w:noWrap/>
            <w:vAlign w:val="center"/>
          </w:tcPr>
          <w:p>
            <w:pPr>
              <w:widowControl/>
              <w:jc w:val="left"/>
              <w:rPr>
                <w:rFonts w:ascii="宋体" w:cs="宋体"/>
                <w:kern w:val="0"/>
                <w:szCs w:val="21"/>
              </w:rPr>
            </w:pPr>
            <w:r>
              <w:rPr>
                <w:rFonts w:ascii="宋体" w:cs="宋体"/>
                <w:kern w:val="0"/>
                <w:szCs w:val="21"/>
              </w:rPr>
              <w:t>12</w:t>
            </w:r>
          </w:p>
        </w:tc>
        <w:tc>
          <w:tcPr>
            <w:tcW w:w="709" w:type="dxa"/>
            <w:noWrap/>
            <w:vAlign w:val="center"/>
          </w:tcPr>
          <w:p>
            <w:pPr>
              <w:widowControl/>
              <w:jc w:val="left"/>
              <w:rPr>
                <w:rFonts w:ascii="宋体" w:cs="宋体"/>
                <w:kern w:val="0"/>
                <w:szCs w:val="21"/>
              </w:rPr>
            </w:pPr>
            <w:r>
              <w:rPr>
                <w:rFonts w:ascii="宋体" w:cs="宋体"/>
                <w:kern w:val="0"/>
                <w:szCs w:val="21"/>
              </w:rPr>
              <w:t>70</w:t>
            </w:r>
          </w:p>
        </w:tc>
        <w:tc>
          <w:tcPr>
            <w:tcW w:w="659" w:type="dxa"/>
            <w:vAlign w:val="center"/>
          </w:tcPr>
          <w:p>
            <w:pPr>
              <w:jc w:val="center"/>
              <w:rPr>
                <w:b/>
                <w:bCs/>
                <w:szCs w:val="21"/>
              </w:rPr>
            </w:pPr>
            <w:r>
              <w:rPr>
                <w:rFonts w:hint="eastAsia"/>
                <w:b/>
                <w:bCs/>
                <w:szCs w:val="21"/>
              </w:rPr>
              <w:t>4</w:t>
            </w:r>
          </w:p>
        </w:tc>
        <w:tc>
          <w:tcPr>
            <w:tcW w:w="713" w:type="dxa"/>
            <w:noWrap/>
            <w:vAlign w:val="center"/>
          </w:tcPr>
          <w:p>
            <w:pPr>
              <w:widowControl/>
              <w:jc w:val="left"/>
              <w:rPr>
                <w:rFonts w:ascii="宋体" w:cs="宋体"/>
                <w:kern w:val="0"/>
                <w:szCs w:val="21"/>
              </w:rPr>
            </w:pPr>
            <w:r>
              <w:rPr>
                <w:rFonts w:hint="eastAsia" w:ascii="宋体" w:hAnsi="宋体"/>
                <w:szCs w:val="21"/>
              </w:rPr>
              <w:t>14*</w:t>
            </w:r>
            <w:r>
              <w:rPr>
                <w:rFonts w:ascii="宋体" w:hAnsi="宋体"/>
                <w:szCs w:val="21"/>
              </w:rPr>
              <w:t>5</w:t>
            </w: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AutoCAD</w:t>
            </w:r>
          </w:p>
        </w:tc>
        <w:tc>
          <w:tcPr>
            <w:tcW w:w="657" w:type="dxa"/>
            <w:noWrap/>
            <w:vAlign w:val="center"/>
          </w:tcPr>
          <w:p>
            <w:pPr>
              <w:widowControl/>
              <w:jc w:val="left"/>
              <w:rPr>
                <w:rFonts w:ascii="宋体" w:cs="宋体"/>
                <w:kern w:val="0"/>
                <w:szCs w:val="21"/>
              </w:rPr>
            </w:pPr>
            <w:r>
              <w:rPr>
                <w:rFonts w:ascii="宋体" w:cs="宋体"/>
                <w:kern w:val="0"/>
                <w:szCs w:val="21"/>
              </w:rPr>
              <w:t>20</w:t>
            </w:r>
          </w:p>
        </w:tc>
        <w:tc>
          <w:tcPr>
            <w:tcW w:w="708" w:type="dxa"/>
            <w:noWrap/>
            <w:vAlign w:val="center"/>
          </w:tcPr>
          <w:p>
            <w:pPr>
              <w:widowControl/>
              <w:jc w:val="left"/>
              <w:rPr>
                <w:rFonts w:ascii="宋体" w:cs="宋体"/>
                <w:kern w:val="0"/>
                <w:szCs w:val="21"/>
              </w:rPr>
            </w:pPr>
            <w:r>
              <w:rPr>
                <w:rFonts w:ascii="宋体" w:cs="宋体"/>
                <w:kern w:val="0"/>
                <w:szCs w:val="21"/>
              </w:rPr>
              <w:t>36</w:t>
            </w:r>
          </w:p>
        </w:tc>
        <w:tc>
          <w:tcPr>
            <w:tcW w:w="709" w:type="dxa"/>
            <w:noWrap/>
            <w:vAlign w:val="center"/>
          </w:tcPr>
          <w:p>
            <w:pPr>
              <w:widowControl/>
              <w:jc w:val="left"/>
              <w:rPr>
                <w:rFonts w:ascii="宋体" w:cs="宋体"/>
                <w:kern w:val="0"/>
                <w:szCs w:val="21"/>
              </w:rPr>
            </w:pPr>
            <w:r>
              <w:rPr>
                <w:rFonts w:ascii="宋体" w:cs="宋体"/>
                <w:kern w:val="0"/>
                <w:szCs w:val="21"/>
              </w:rPr>
              <w:t>56</w:t>
            </w:r>
          </w:p>
        </w:tc>
        <w:tc>
          <w:tcPr>
            <w:tcW w:w="659" w:type="dxa"/>
            <w:vAlign w:val="center"/>
          </w:tcPr>
          <w:p>
            <w:pPr>
              <w:jc w:val="center"/>
              <w:rPr>
                <w:b/>
                <w:bCs/>
                <w:szCs w:val="21"/>
              </w:rPr>
            </w:pPr>
            <w:r>
              <w:rPr>
                <w:rFonts w:hint="eastAsia"/>
                <w:b/>
                <w:bCs/>
                <w:szCs w:val="21"/>
              </w:rPr>
              <w:t>2.5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实践</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418" w:type="dxa"/>
            <w:vAlign w:val="center"/>
          </w:tcPr>
          <w:p>
            <w:pPr>
              <w:widowControl/>
              <w:jc w:val="left"/>
              <w:rPr>
                <w:rFonts w:ascii="宋体" w:cs="宋体"/>
                <w:kern w:val="0"/>
                <w:szCs w:val="21"/>
              </w:rPr>
            </w:pPr>
            <w:r>
              <w:rPr>
                <w:rFonts w:hint="eastAsia" w:ascii="宋体" w:hAnsi="宋体" w:cs="宋体"/>
                <w:kern w:val="0"/>
                <w:szCs w:val="21"/>
              </w:rPr>
              <w:t>化工设备基础</w:t>
            </w:r>
          </w:p>
        </w:tc>
        <w:tc>
          <w:tcPr>
            <w:tcW w:w="657" w:type="dxa"/>
            <w:noWrap/>
            <w:vAlign w:val="center"/>
          </w:tcPr>
          <w:p>
            <w:pPr>
              <w:widowControl/>
              <w:jc w:val="left"/>
              <w:rPr>
                <w:rFonts w:ascii="宋体" w:cs="宋体"/>
                <w:kern w:val="0"/>
                <w:szCs w:val="21"/>
              </w:rPr>
            </w:pPr>
            <w:r>
              <w:rPr>
                <w:rFonts w:ascii="宋体" w:cs="宋体"/>
                <w:kern w:val="0"/>
                <w:szCs w:val="21"/>
              </w:rPr>
              <w:t>54</w:t>
            </w:r>
          </w:p>
        </w:tc>
        <w:tc>
          <w:tcPr>
            <w:tcW w:w="708" w:type="dxa"/>
            <w:noWrap/>
            <w:vAlign w:val="center"/>
          </w:tcPr>
          <w:p>
            <w:pPr>
              <w:widowControl/>
              <w:jc w:val="left"/>
              <w:rPr>
                <w:rFonts w:ascii="宋体" w:cs="宋体"/>
                <w:kern w:val="0"/>
                <w:szCs w:val="21"/>
              </w:rPr>
            </w:pPr>
            <w:r>
              <w:rPr>
                <w:rFonts w:ascii="宋体" w:cs="宋体"/>
                <w:kern w:val="0"/>
                <w:szCs w:val="21"/>
              </w:rPr>
              <w:t>16</w:t>
            </w:r>
          </w:p>
        </w:tc>
        <w:tc>
          <w:tcPr>
            <w:tcW w:w="709" w:type="dxa"/>
            <w:noWrap/>
            <w:vAlign w:val="center"/>
          </w:tcPr>
          <w:p>
            <w:pPr>
              <w:widowControl/>
              <w:jc w:val="left"/>
              <w:rPr>
                <w:rFonts w:ascii="宋体" w:cs="宋体"/>
                <w:kern w:val="0"/>
                <w:szCs w:val="21"/>
              </w:rPr>
            </w:pPr>
            <w:r>
              <w:rPr>
                <w:rFonts w:ascii="宋体" w:cs="宋体"/>
                <w:kern w:val="0"/>
                <w:szCs w:val="21"/>
              </w:rPr>
              <w:t>70</w:t>
            </w:r>
          </w:p>
        </w:tc>
        <w:tc>
          <w:tcPr>
            <w:tcW w:w="659" w:type="dxa"/>
            <w:vAlign w:val="center"/>
          </w:tcPr>
          <w:p>
            <w:pPr>
              <w:jc w:val="center"/>
              <w:rPr>
                <w:b/>
                <w:bCs/>
                <w:szCs w:val="21"/>
              </w:rPr>
            </w:pPr>
            <w:r>
              <w:rPr>
                <w:rFonts w:hint="eastAsia"/>
                <w:b/>
                <w:bCs/>
                <w:szCs w:val="21"/>
              </w:rPr>
              <w:t>4</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5</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hint="eastAsia" w:ascii="宋体" w:hAnsi="宋体" w:cs="宋体"/>
                <w:kern w:val="0"/>
                <w:szCs w:val="21"/>
              </w:rPr>
              <w:t>5</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环保概论</w:t>
            </w:r>
          </w:p>
        </w:tc>
        <w:tc>
          <w:tcPr>
            <w:tcW w:w="657" w:type="dxa"/>
            <w:noWrap/>
            <w:vAlign w:val="center"/>
          </w:tcPr>
          <w:p>
            <w:pPr>
              <w:widowControl/>
              <w:jc w:val="left"/>
              <w:rPr>
                <w:rFonts w:ascii="宋体" w:cs="宋体"/>
                <w:kern w:val="0"/>
                <w:szCs w:val="21"/>
              </w:rPr>
            </w:pPr>
            <w:r>
              <w:rPr>
                <w:rFonts w:ascii="宋体" w:cs="宋体"/>
                <w:kern w:val="0"/>
                <w:szCs w:val="21"/>
              </w:rPr>
              <w:t>20</w:t>
            </w:r>
          </w:p>
        </w:tc>
        <w:tc>
          <w:tcPr>
            <w:tcW w:w="708" w:type="dxa"/>
            <w:noWrap/>
            <w:vAlign w:val="center"/>
          </w:tcPr>
          <w:p>
            <w:pPr>
              <w:widowControl/>
              <w:jc w:val="left"/>
              <w:rPr>
                <w:rFonts w:ascii="宋体" w:cs="宋体"/>
                <w:kern w:val="0"/>
                <w:szCs w:val="21"/>
              </w:rPr>
            </w:pPr>
            <w:r>
              <w:rPr>
                <w:rFonts w:hint="eastAsia" w:ascii="宋体" w:cs="宋体"/>
                <w:kern w:val="0"/>
                <w:szCs w:val="21"/>
              </w:rPr>
              <w:t>8</w:t>
            </w:r>
          </w:p>
        </w:tc>
        <w:tc>
          <w:tcPr>
            <w:tcW w:w="709" w:type="dxa"/>
            <w:noWrap/>
            <w:vAlign w:val="center"/>
          </w:tcPr>
          <w:p>
            <w:pPr>
              <w:widowControl/>
              <w:jc w:val="left"/>
              <w:rPr>
                <w:rFonts w:ascii="宋体" w:cs="宋体"/>
                <w:kern w:val="0"/>
                <w:szCs w:val="21"/>
              </w:rPr>
            </w:pPr>
            <w:r>
              <w:rPr>
                <w:rFonts w:ascii="宋体" w:cs="宋体"/>
                <w:kern w:val="0"/>
                <w:szCs w:val="21"/>
              </w:rPr>
              <w:t>28</w:t>
            </w:r>
          </w:p>
        </w:tc>
        <w:tc>
          <w:tcPr>
            <w:tcW w:w="659" w:type="dxa"/>
            <w:vAlign w:val="center"/>
          </w:tcPr>
          <w:p>
            <w:pPr>
              <w:jc w:val="center"/>
              <w:rPr>
                <w:b/>
                <w:bCs/>
                <w:szCs w:val="21"/>
              </w:rPr>
            </w:pPr>
            <w:r>
              <w:rPr>
                <w:rFonts w:hint="eastAsia"/>
                <w:b/>
                <w:bCs/>
                <w:szCs w:val="21"/>
              </w:rPr>
              <w:t>1.5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hAnsi="宋体"/>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2</w:t>
            </w: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hint="eastAsia" w:ascii="宋体" w:hAnsi="宋体" w:cs="宋体"/>
                <w:kern w:val="0"/>
                <w:szCs w:val="21"/>
              </w:rPr>
              <w:t>6</w:t>
            </w:r>
          </w:p>
        </w:tc>
        <w:tc>
          <w:tcPr>
            <w:tcW w:w="1418" w:type="dxa"/>
            <w:vAlign w:val="center"/>
          </w:tcPr>
          <w:p>
            <w:pPr>
              <w:widowControl/>
              <w:jc w:val="left"/>
              <w:rPr>
                <w:rFonts w:ascii="宋体" w:cs="宋体"/>
                <w:kern w:val="0"/>
                <w:szCs w:val="21"/>
              </w:rPr>
            </w:pPr>
            <w:r>
              <w:rPr>
                <w:rFonts w:hint="eastAsia" w:ascii="宋体" w:hAnsi="宋体" w:cs="宋体"/>
                <w:kern w:val="0"/>
                <w:szCs w:val="21"/>
              </w:rPr>
              <w:t>化工企业管理与技术经济</w:t>
            </w:r>
          </w:p>
        </w:tc>
        <w:tc>
          <w:tcPr>
            <w:tcW w:w="657" w:type="dxa"/>
            <w:noWrap/>
            <w:vAlign w:val="center"/>
          </w:tcPr>
          <w:p>
            <w:pPr>
              <w:widowControl/>
              <w:jc w:val="left"/>
              <w:rPr>
                <w:rFonts w:ascii="宋体" w:cs="宋体"/>
                <w:kern w:val="0"/>
                <w:szCs w:val="21"/>
              </w:rPr>
            </w:pPr>
            <w:r>
              <w:rPr>
                <w:rFonts w:ascii="宋体" w:cs="宋体"/>
                <w:kern w:val="0"/>
                <w:szCs w:val="21"/>
              </w:rPr>
              <w:t>40</w:t>
            </w:r>
          </w:p>
        </w:tc>
        <w:tc>
          <w:tcPr>
            <w:tcW w:w="708" w:type="dxa"/>
            <w:noWrap/>
            <w:vAlign w:val="center"/>
          </w:tcPr>
          <w:p>
            <w:pPr>
              <w:widowControl/>
              <w:jc w:val="left"/>
              <w:rPr>
                <w:rFonts w:ascii="宋体" w:cs="宋体"/>
                <w:kern w:val="0"/>
                <w:szCs w:val="21"/>
              </w:rPr>
            </w:pPr>
            <w:r>
              <w:rPr>
                <w:rFonts w:ascii="宋体" w:cs="宋体"/>
                <w:kern w:val="0"/>
                <w:szCs w:val="21"/>
              </w:rPr>
              <w:t>8</w:t>
            </w:r>
          </w:p>
        </w:tc>
        <w:tc>
          <w:tcPr>
            <w:tcW w:w="709" w:type="dxa"/>
            <w:noWrap/>
            <w:vAlign w:val="center"/>
          </w:tcPr>
          <w:p>
            <w:pPr>
              <w:widowControl/>
              <w:jc w:val="left"/>
              <w:rPr>
                <w:rFonts w:ascii="宋体" w:cs="宋体"/>
                <w:kern w:val="0"/>
                <w:szCs w:val="21"/>
              </w:rPr>
            </w:pPr>
            <w:r>
              <w:rPr>
                <w:rFonts w:ascii="宋体" w:cs="宋体"/>
                <w:kern w:val="0"/>
                <w:szCs w:val="21"/>
              </w:rPr>
              <w:t>48</w:t>
            </w:r>
          </w:p>
        </w:tc>
        <w:tc>
          <w:tcPr>
            <w:tcW w:w="659" w:type="dxa"/>
            <w:vAlign w:val="center"/>
          </w:tcPr>
          <w:p>
            <w:pPr>
              <w:jc w:val="center"/>
              <w:rPr>
                <w:b/>
                <w:bCs/>
                <w:szCs w:val="21"/>
              </w:rPr>
            </w:pPr>
            <w:r>
              <w:rPr>
                <w:rFonts w:hint="eastAsia"/>
                <w:b/>
                <w:bCs/>
                <w:szCs w:val="21"/>
              </w:rPr>
              <w:t>3</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2</w:t>
            </w:r>
            <w:r>
              <w:rPr>
                <w:rFonts w:hint="eastAsia" w:ascii="宋体" w:hAnsi="宋体"/>
                <w:szCs w:val="21"/>
              </w:rPr>
              <w:t>*</w:t>
            </w:r>
            <w:r>
              <w:rPr>
                <w:rFonts w:ascii="宋体" w:hAnsi="宋体"/>
                <w:szCs w:val="21"/>
              </w:rPr>
              <w:t>4</w:t>
            </w: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1805" w:type="dxa"/>
            <w:gridSpan w:val="2"/>
            <w:noWrap/>
            <w:vAlign w:val="center"/>
          </w:tcPr>
          <w:p>
            <w:pPr>
              <w:widowControl/>
              <w:jc w:val="center"/>
              <w:rPr>
                <w:rFonts w:ascii="宋体" w:hAnsi="宋体" w:cs="宋体"/>
                <w:kern w:val="0"/>
                <w:szCs w:val="21"/>
              </w:rPr>
            </w:pPr>
            <w:r>
              <w:rPr>
                <w:rFonts w:hint="eastAsia" w:ascii="宋体" w:hAnsi="宋体" w:cs="宋体"/>
                <w:b/>
                <w:bCs/>
                <w:kern w:val="0"/>
                <w:szCs w:val="21"/>
              </w:rPr>
              <w:t>小计</w:t>
            </w:r>
          </w:p>
        </w:tc>
        <w:tc>
          <w:tcPr>
            <w:tcW w:w="657" w:type="dxa"/>
            <w:noWrap/>
            <w:vAlign w:val="center"/>
          </w:tcPr>
          <w:p>
            <w:pPr>
              <w:widowControl/>
              <w:jc w:val="right"/>
              <w:rPr>
                <w:b/>
              </w:rPr>
            </w:pPr>
            <w:r>
              <w:rPr>
                <w:rFonts w:hint="eastAsia"/>
                <w:b/>
              </w:rPr>
              <w:t>252</w:t>
            </w:r>
          </w:p>
        </w:tc>
        <w:tc>
          <w:tcPr>
            <w:tcW w:w="708" w:type="dxa"/>
            <w:noWrap/>
            <w:vAlign w:val="center"/>
          </w:tcPr>
          <w:p>
            <w:pPr>
              <w:jc w:val="right"/>
              <w:rPr>
                <w:b/>
              </w:rPr>
            </w:pPr>
            <w:r>
              <w:rPr>
                <w:rFonts w:hint="eastAsia"/>
                <w:b/>
              </w:rPr>
              <w:t>104</w:t>
            </w:r>
          </w:p>
        </w:tc>
        <w:tc>
          <w:tcPr>
            <w:tcW w:w="709" w:type="dxa"/>
            <w:noWrap/>
            <w:vAlign w:val="center"/>
          </w:tcPr>
          <w:p>
            <w:pPr>
              <w:jc w:val="right"/>
              <w:rPr>
                <w:b/>
              </w:rPr>
            </w:pPr>
            <w:r>
              <w:rPr>
                <w:rFonts w:hint="eastAsia"/>
                <w:b/>
              </w:rPr>
              <w:t>356</w:t>
            </w:r>
          </w:p>
        </w:tc>
        <w:tc>
          <w:tcPr>
            <w:tcW w:w="659" w:type="dxa"/>
            <w:vAlign w:val="center"/>
          </w:tcPr>
          <w:p>
            <w:pPr>
              <w:jc w:val="center"/>
              <w:rPr>
                <w:b/>
                <w:bCs/>
                <w:szCs w:val="21"/>
              </w:rPr>
            </w:pPr>
            <w:r>
              <w:rPr>
                <w:rFonts w:hint="eastAsia"/>
                <w:b/>
                <w:bCs/>
                <w:szCs w:val="21"/>
              </w:rPr>
              <w:t>19.</w:t>
            </w:r>
            <w:r>
              <w:rPr>
                <w:b/>
                <w:bCs/>
                <w:szCs w:val="21"/>
              </w:rPr>
              <w:t>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hAnsi="宋体"/>
                <w:szCs w:val="21"/>
              </w:rPr>
            </w:pP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专</w:t>
            </w:r>
          </w:p>
          <w:p>
            <w:pPr>
              <w:widowControl/>
              <w:jc w:val="left"/>
              <w:rPr>
                <w:rFonts w:ascii="宋体" w:hAnsi="宋体" w:cs="宋体"/>
                <w:kern w:val="0"/>
                <w:szCs w:val="21"/>
              </w:rPr>
            </w:pPr>
            <w:r>
              <w:rPr>
                <w:rFonts w:hint="eastAsia" w:ascii="宋体" w:hAnsi="宋体" w:cs="宋体"/>
                <w:kern w:val="0"/>
                <w:szCs w:val="21"/>
              </w:rPr>
              <w:t>业</w:t>
            </w:r>
          </w:p>
          <w:p>
            <w:pPr>
              <w:widowControl/>
              <w:jc w:val="left"/>
              <w:rPr>
                <w:rFonts w:ascii="宋体" w:hAnsi="宋体" w:cs="宋体"/>
                <w:kern w:val="0"/>
                <w:szCs w:val="21"/>
              </w:rPr>
            </w:pPr>
            <w:r>
              <w:rPr>
                <w:rFonts w:hint="eastAsia" w:ascii="宋体" w:hAnsi="宋体" w:cs="宋体"/>
                <w:kern w:val="0"/>
                <w:szCs w:val="21"/>
              </w:rPr>
              <w:t>核</w:t>
            </w:r>
          </w:p>
          <w:p>
            <w:pPr>
              <w:widowControl/>
              <w:jc w:val="left"/>
              <w:rPr>
                <w:rFonts w:ascii="宋体" w:hAnsi="宋体" w:cs="宋体"/>
                <w:kern w:val="0"/>
                <w:szCs w:val="21"/>
              </w:rPr>
            </w:pPr>
            <w:r>
              <w:rPr>
                <w:rFonts w:hint="eastAsia" w:ascii="宋体" w:hAnsi="宋体" w:cs="宋体"/>
                <w:kern w:val="0"/>
                <w:szCs w:val="21"/>
              </w:rPr>
              <w:t>心</w:t>
            </w:r>
          </w:p>
          <w:p>
            <w:pPr>
              <w:widowControl/>
              <w:jc w:val="left"/>
              <w:rPr>
                <w:rFonts w:ascii="宋体" w:hAnsi="宋体" w:cs="宋体"/>
                <w:kern w:val="0"/>
                <w:szCs w:val="21"/>
              </w:rPr>
            </w:pPr>
            <w:r>
              <w:rPr>
                <w:rFonts w:hint="eastAsia" w:ascii="宋体" w:hAnsi="宋体" w:cs="宋体"/>
                <w:kern w:val="0"/>
                <w:szCs w:val="21"/>
              </w:rPr>
              <w:t>课</w:t>
            </w:r>
          </w:p>
        </w:tc>
        <w:tc>
          <w:tcPr>
            <w:tcW w:w="387" w:type="dxa"/>
            <w:noWrap/>
            <w:vAlign w:val="center"/>
          </w:tcPr>
          <w:p>
            <w:pPr>
              <w:widowControl/>
              <w:jc w:val="left"/>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cs="宋体"/>
                <w:kern w:val="0"/>
                <w:szCs w:val="21"/>
              </w:rPr>
            </w:pPr>
            <w:r>
              <w:rPr>
                <w:rFonts w:hint="eastAsia" w:ascii="宋体" w:hAnsi="宋体" w:cs="宋体"/>
                <w:kern w:val="0"/>
                <w:szCs w:val="21"/>
              </w:rPr>
              <w:t>化工安全技术</w:t>
            </w:r>
          </w:p>
        </w:tc>
        <w:tc>
          <w:tcPr>
            <w:tcW w:w="657" w:type="dxa"/>
            <w:noWrap/>
            <w:vAlign w:val="center"/>
          </w:tcPr>
          <w:p>
            <w:pPr>
              <w:widowControl/>
              <w:jc w:val="left"/>
              <w:rPr>
                <w:rFonts w:ascii="宋体" w:cs="宋体"/>
                <w:kern w:val="0"/>
                <w:szCs w:val="21"/>
              </w:rPr>
            </w:pPr>
            <w:r>
              <w:rPr>
                <w:rFonts w:hint="eastAsia" w:ascii="宋体" w:cs="宋体"/>
                <w:kern w:val="0"/>
                <w:szCs w:val="21"/>
              </w:rPr>
              <w:t>56</w:t>
            </w:r>
          </w:p>
        </w:tc>
        <w:tc>
          <w:tcPr>
            <w:tcW w:w="708" w:type="dxa"/>
            <w:noWrap/>
            <w:vAlign w:val="center"/>
          </w:tcPr>
          <w:p>
            <w:pPr>
              <w:widowControl/>
              <w:jc w:val="left"/>
              <w:rPr>
                <w:rFonts w:ascii="宋体" w:cs="宋体"/>
                <w:kern w:val="0"/>
                <w:szCs w:val="21"/>
              </w:rPr>
            </w:pPr>
            <w:r>
              <w:rPr>
                <w:rFonts w:hint="eastAsia" w:ascii="宋体" w:cs="宋体"/>
                <w:kern w:val="0"/>
                <w:szCs w:val="21"/>
              </w:rPr>
              <w:t>0</w:t>
            </w:r>
          </w:p>
        </w:tc>
        <w:tc>
          <w:tcPr>
            <w:tcW w:w="709" w:type="dxa"/>
            <w:noWrap/>
            <w:vAlign w:val="center"/>
          </w:tcPr>
          <w:p>
            <w:pPr>
              <w:widowControl/>
              <w:jc w:val="left"/>
              <w:rPr>
                <w:rFonts w:ascii="宋体" w:cs="宋体"/>
                <w:kern w:val="0"/>
                <w:szCs w:val="21"/>
              </w:rPr>
            </w:pPr>
            <w:r>
              <w:rPr>
                <w:rFonts w:ascii="宋体" w:cs="宋体"/>
                <w:kern w:val="0"/>
                <w:szCs w:val="21"/>
              </w:rPr>
              <w:t>56</w:t>
            </w:r>
          </w:p>
        </w:tc>
        <w:tc>
          <w:tcPr>
            <w:tcW w:w="659" w:type="dxa"/>
            <w:vAlign w:val="center"/>
          </w:tcPr>
          <w:p>
            <w:pPr>
              <w:widowControl/>
              <w:jc w:val="center"/>
              <w:rPr>
                <w:b/>
                <w:bCs/>
                <w:szCs w:val="21"/>
              </w:rPr>
            </w:pPr>
            <w:r>
              <w:rPr>
                <w:rFonts w:hint="eastAsia"/>
                <w:b/>
                <w:bCs/>
                <w:szCs w:val="21"/>
              </w:rPr>
              <w:t>3.5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4</w:t>
            </w: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cs="宋体"/>
                <w:kern w:val="0"/>
                <w:szCs w:val="21"/>
              </w:rPr>
            </w:pPr>
            <w:r>
              <w:rPr>
                <w:rFonts w:hint="eastAsia" w:ascii="宋体" w:hAnsi="宋体" w:cs="宋体"/>
                <w:kern w:val="0"/>
                <w:szCs w:val="21"/>
              </w:rPr>
              <w:t>化工单元操作</w:t>
            </w:r>
          </w:p>
        </w:tc>
        <w:tc>
          <w:tcPr>
            <w:tcW w:w="657" w:type="dxa"/>
            <w:noWrap/>
            <w:vAlign w:val="center"/>
          </w:tcPr>
          <w:p>
            <w:pPr>
              <w:widowControl/>
              <w:jc w:val="left"/>
              <w:rPr>
                <w:rFonts w:ascii="宋体" w:cs="宋体"/>
                <w:kern w:val="0"/>
                <w:szCs w:val="21"/>
              </w:rPr>
            </w:pPr>
            <w:r>
              <w:rPr>
                <w:rFonts w:ascii="宋体" w:cs="宋体"/>
                <w:kern w:val="0"/>
                <w:szCs w:val="21"/>
              </w:rPr>
              <w:t>60</w:t>
            </w:r>
          </w:p>
        </w:tc>
        <w:tc>
          <w:tcPr>
            <w:tcW w:w="708" w:type="dxa"/>
            <w:noWrap/>
            <w:vAlign w:val="center"/>
          </w:tcPr>
          <w:p>
            <w:pPr>
              <w:widowControl/>
              <w:jc w:val="left"/>
              <w:rPr>
                <w:rFonts w:ascii="宋体" w:cs="宋体"/>
                <w:kern w:val="0"/>
                <w:szCs w:val="21"/>
              </w:rPr>
            </w:pPr>
            <w:r>
              <w:rPr>
                <w:rFonts w:ascii="宋体" w:cs="宋体"/>
                <w:kern w:val="0"/>
                <w:szCs w:val="21"/>
              </w:rPr>
              <w:t>24</w:t>
            </w:r>
          </w:p>
        </w:tc>
        <w:tc>
          <w:tcPr>
            <w:tcW w:w="709" w:type="dxa"/>
            <w:noWrap/>
            <w:vAlign w:val="center"/>
          </w:tcPr>
          <w:p>
            <w:pPr>
              <w:widowControl/>
              <w:jc w:val="left"/>
              <w:rPr>
                <w:rFonts w:ascii="宋体" w:cs="宋体"/>
                <w:kern w:val="0"/>
                <w:szCs w:val="21"/>
              </w:rPr>
            </w:pPr>
            <w:r>
              <w:rPr>
                <w:rFonts w:ascii="宋体" w:cs="宋体"/>
                <w:kern w:val="0"/>
                <w:szCs w:val="21"/>
              </w:rPr>
              <w:t>84</w:t>
            </w:r>
          </w:p>
        </w:tc>
        <w:tc>
          <w:tcPr>
            <w:tcW w:w="659" w:type="dxa"/>
            <w:vAlign w:val="center"/>
          </w:tcPr>
          <w:p>
            <w:pPr>
              <w:jc w:val="center"/>
              <w:rPr>
                <w:b/>
                <w:bCs/>
                <w:szCs w:val="21"/>
              </w:rPr>
            </w:pPr>
            <w:r>
              <w:rPr>
                <w:rFonts w:hint="eastAsia"/>
                <w:b/>
                <w:bCs/>
                <w:szCs w:val="21"/>
              </w:rPr>
              <w:t>4.5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6</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实践</w:t>
            </w:r>
          </w:p>
        </w:tc>
        <w:tc>
          <w:tcPr>
            <w:tcW w:w="681" w:type="dxa"/>
            <w:noWrap/>
            <w:vAlign w:val="center"/>
          </w:tcPr>
          <w:p>
            <w:pPr>
              <w:widowControl/>
              <w:jc w:val="left"/>
              <w:rPr>
                <w:rFonts w:ascii="宋体" w:cs="宋体"/>
                <w:kern w:val="0"/>
                <w:szCs w:val="21"/>
              </w:rPr>
            </w:pPr>
            <w:r>
              <w:rPr>
                <w:rFonts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化工仪表及自动化</w:t>
            </w:r>
          </w:p>
        </w:tc>
        <w:tc>
          <w:tcPr>
            <w:tcW w:w="657" w:type="dxa"/>
            <w:noWrap/>
            <w:vAlign w:val="center"/>
          </w:tcPr>
          <w:p>
            <w:pPr>
              <w:widowControl/>
              <w:jc w:val="left"/>
              <w:rPr>
                <w:rFonts w:ascii="宋体" w:cs="宋体"/>
                <w:kern w:val="0"/>
                <w:szCs w:val="21"/>
              </w:rPr>
            </w:pPr>
            <w:r>
              <w:rPr>
                <w:rFonts w:ascii="宋体" w:cs="宋体"/>
                <w:kern w:val="0"/>
                <w:szCs w:val="21"/>
              </w:rPr>
              <w:t>54</w:t>
            </w:r>
          </w:p>
        </w:tc>
        <w:tc>
          <w:tcPr>
            <w:tcW w:w="708" w:type="dxa"/>
            <w:noWrap/>
            <w:vAlign w:val="center"/>
          </w:tcPr>
          <w:p>
            <w:pPr>
              <w:widowControl/>
              <w:jc w:val="left"/>
              <w:rPr>
                <w:rFonts w:ascii="宋体" w:cs="宋体"/>
                <w:kern w:val="0"/>
                <w:szCs w:val="21"/>
              </w:rPr>
            </w:pPr>
            <w:r>
              <w:rPr>
                <w:rFonts w:ascii="宋体" w:cs="宋体"/>
                <w:kern w:val="0"/>
                <w:szCs w:val="21"/>
              </w:rPr>
              <w:t>16</w:t>
            </w:r>
          </w:p>
        </w:tc>
        <w:tc>
          <w:tcPr>
            <w:tcW w:w="709" w:type="dxa"/>
            <w:noWrap/>
            <w:vAlign w:val="center"/>
          </w:tcPr>
          <w:p>
            <w:pPr>
              <w:widowControl/>
              <w:jc w:val="left"/>
              <w:rPr>
                <w:rFonts w:ascii="宋体" w:cs="宋体"/>
                <w:kern w:val="0"/>
                <w:szCs w:val="21"/>
              </w:rPr>
            </w:pPr>
            <w:r>
              <w:rPr>
                <w:rFonts w:ascii="宋体" w:cs="宋体"/>
                <w:kern w:val="0"/>
                <w:szCs w:val="21"/>
              </w:rPr>
              <w:t>70</w:t>
            </w:r>
          </w:p>
        </w:tc>
        <w:tc>
          <w:tcPr>
            <w:tcW w:w="659" w:type="dxa"/>
            <w:vAlign w:val="center"/>
          </w:tcPr>
          <w:p>
            <w:pPr>
              <w:jc w:val="center"/>
              <w:rPr>
                <w:b/>
                <w:bCs/>
                <w:szCs w:val="21"/>
              </w:rPr>
            </w:pPr>
            <w:r>
              <w:rPr>
                <w:rFonts w:hint="eastAsia"/>
                <w:b/>
                <w:bCs/>
                <w:szCs w:val="21"/>
              </w:rPr>
              <w:t>4</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5</w:t>
            </w: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4</w:t>
            </w:r>
          </w:p>
        </w:tc>
        <w:tc>
          <w:tcPr>
            <w:tcW w:w="1418" w:type="dxa"/>
            <w:vAlign w:val="center"/>
          </w:tcPr>
          <w:p>
            <w:pPr>
              <w:widowControl/>
              <w:jc w:val="left"/>
              <w:rPr>
                <w:rFonts w:ascii="宋体" w:cs="宋体"/>
                <w:kern w:val="0"/>
                <w:szCs w:val="21"/>
              </w:rPr>
            </w:pPr>
            <w:r>
              <w:rPr>
                <w:rFonts w:hint="eastAsia" w:ascii="宋体" w:hAnsi="宋体" w:cs="宋体"/>
                <w:kern w:val="0"/>
                <w:szCs w:val="21"/>
              </w:rPr>
              <w:t>工业分析</w:t>
            </w:r>
          </w:p>
        </w:tc>
        <w:tc>
          <w:tcPr>
            <w:tcW w:w="657" w:type="dxa"/>
            <w:noWrap/>
            <w:vAlign w:val="center"/>
          </w:tcPr>
          <w:p>
            <w:pPr>
              <w:widowControl/>
              <w:jc w:val="left"/>
              <w:rPr>
                <w:rFonts w:ascii="宋体" w:cs="宋体"/>
                <w:kern w:val="0"/>
                <w:szCs w:val="21"/>
              </w:rPr>
            </w:pPr>
            <w:r>
              <w:rPr>
                <w:rFonts w:ascii="宋体" w:cs="宋体"/>
                <w:kern w:val="0"/>
                <w:szCs w:val="21"/>
              </w:rPr>
              <w:t>34</w:t>
            </w:r>
          </w:p>
        </w:tc>
        <w:tc>
          <w:tcPr>
            <w:tcW w:w="708" w:type="dxa"/>
            <w:noWrap/>
            <w:vAlign w:val="center"/>
          </w:tcPr>
          <w:p>
            <w:pPr>
              <w:widowControl/>
              <w:jc w:val="left"/>
              <w:rPr>
                <w:rFonts w:ascii="宋体" w:cs="宋体"/>
                <w:kern w:val="0"/>
                <w:szCs w:val="21"/>
              </w:rPr>
            </w:pPr>
            <w:r>
              <w:rPr>
                <w:rFonts w:ascii="宋体" w:cs="宋体"/>
                <w:kern w:val="0"/>
                <w:szCs w:val="21"/>
              </w:rPr>
              <w:t>36</w:t>
            </w:r>
          </w:p>
        </w:tc>
        <w:tc>
          <w:tcPr>
            <w:tcW w:w="709" w:type="dxa"/>
            <w:noWrap/>
            <w:vAlign w:val="center"/>
          </w:tcPr>
          <w:p>
            <w:pPr>
              <w:widowControl/>
              <w:jc w:val="left"/>
              <w:rPr>
                <w:rFonts w:ascii="宋体" w:cs="宋体"/>
                <w:kern w:val="0"/>
                <w:szCs w:val="21"/>
              </w:rPr>
            </w:pPr>
            <w:r>
              <w:rPr>
                <w:rFonts w:ascii="宋体" w:cs="宋体"/>
                <w:kern w:val="0"/>
                <w:szCs w:val="21"/>
              </w:rPr>
              <w:t>70</w:t>
            </w:r>
          </w:p>
        </w:tc>
        <w:tc>
          <w:tcPr>
            <w:tcW w:w="659" w:type="dxa"/>
            <w:vAlign w:val="center"/>
          </w:tcPr>
          <w:p>
            <w:pPr>
              <w:jc w:val="center"/>
              <w:rPr>
                <w:b/>
                <w:bCs/>
                <w:szCs w:val="21"/>
              </w:rPr>
            </w:pPr>
            <w:r>
              <w:rPr>
                <w:rFonts w:hint="eastAsia"/>
                <w:b/>
                <w:bCs/>
                <w:szCs w:val="21"/>
              </w:rPr>
              <w:t>3.5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5</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5</w:t>
            </w:r>
          </w:p>
        </w:tc>
        <w:tc>
          <w:tcPr>
            <w:tcW w:w="1418" w:type="dxa"/>
            <w:vAlign w:val="center"/>
          </w:tcPr>
          <w:p>
            <w:pPr>
              <w:widowControl/>
              <w:jc w:val="left"/>
              <w:rPr>
                <w:rFonts w:ascii="宋体" w:cs="宋体"/>
                <w:kern w:val="0"/>
                <w:szCs w:val="21"/>
              </w:rPr>
            </w:pPr>
            <w:r>
              <w:rPr>
                <w:rFonts w:hint="eastAsia" w:ascii="宋体" w:hAnsi="宋体" w:cs="宋体"/>
                <w:kern w:val="0"/>
                <w:szCs w:val="21"/>
              </w:rPr>
              <w:t>化学反应过程与设备</w:t>
            </w:r>
          </w:p>
        </w:tc>
        <w:tc>
          <w:tcPr>
            <w:tcW w:w="657" w:type="dxa"/>
            <w:noWrap/>
            <w:vAlign w:val="center"/>
          </w:tcPr>
          <w:p>
            <w:pPr>
              <w:widowControl/>
              <w:jc w:val="left"/>
              <w:rPr>
                <w:rFonts w:ascii="宋体" w:cs="宋体"/>
                <w:kern w:val="0"/>
                <w:szCs w:val="21"/>
              </w:rPr>
            </w:pPr>
            <w:r>
              <w:rPr>
                <w:rFonts w:ascii="宋体" w:cs="宋体"/>
                <w:kern w:val="0"/>
                <w:szCs w:val="21"/>
              </w:rPr>
              <w:t>34</w:t>
            </w:r>
          </w:p>
        </w:tc>
        <w:tc>
          <w:tcPr>
            <w:tcW w:w="708" w:type="dxa"/>
            <w:noWrap/>
            <w:vAlign w:val="center"/>
          </w:tcPr>
          <w:p>
            <w:pPr>
              <w:widowControl/>
              <w:jc w:val="left"/>
              <w:rPr>
                <w:rFonts w:ascii="宋体" w:cs="宋体"/>
                <w:kern w:val="0"/>
                <w:szCs w:val="21"/>
              </w:rPr>
            </w:pPr>
            <w:r>
              <w:rPr>
                <w:rFonts w:ascii="宋体" w:cs="宋体"/>
                <w:kern w:val="0"/>
                <w:szCs w:val="21"/>
              </w:rPr>
              <w:t>36</w:t>
            </w:r>
          </w:p>
        </w:tc>
        <w:tc>
          <w:tcPr>
            <w:tcW w:w="709" w:type="dxa"/>
            <w:noWrap/>
            <w:vAlign w:val="center"/>
          </w:tcPr>
          <w:p>
            <w:pPr>
              <w:widowControl/>
              <w:jc w:val="left"/>
              <w:rPr>
                <w:rFonts w:ascii="宋体" w:cs="宋体"/>
                <w:kern w:val="0"/>
                <w:szCs w:val="21"/>
              </w:rPr>
            </w:pPr>
            <w:r>
              <w:rPr>
                <w:rFonts w:ascii="宋体" w:cs="宋体"/>
                <w:kern w:val="0"/>
                <w:szCs w:val="21"/>
              </w:rPr>
              <w:t>70</w:t>
            </w:r>
          </w:p>
        </w:tc>
        <w:tc>
          <w:tcPr>
            <w:tcW w:w="659" w:type="dxa"/>
            <w:vAlign w:val="center"/>
          </w:tcPr>
          <w:p>
            <w:pPr>
              <w:jc w:val="center"/>
              <w:rPr>
                <w:b/>
                <w:bCs/>
                <w:szCs w:val="21"/>
              </w:rPr>
            </w:pPr>
            <w:r>
              <w:rPr>
                <w:rFonts w:hint="eastAsia"/>
                <w:b/>
                <w:bCs/>
                <w:szCs w:val="21"/>
              </w:rPr>
              <w:t>3.5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5</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left"/>
              <w:rPr>
                <w:rFonts w:ascii="宋体" w:cs="宋体"/>
                <w:kern w:val="0"/>
                <w:szCs w:val="21"/>
              </w:rPr>
            </w:pPr>
            <w:r>
              <w:rPr>
                <w:rFonts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6</w:t>
            </w:r>
          </w:p>
        </w:tc>
        <w:tc>
          <w:tcPr>
            <w:tcW w:w="1418" w:type="dxa"/>
            <w:vAlign w:val="center"/>
          </w:tcPr>
          <w:p>
            <w:pPr>
              <w:widowControl/>
              <w:jc w:val="left"/>
              <w:rPr>
                <w:rFonts w:ascii="宋体" w:cs="宋体"/>
                <w:kern w:val="0"/>
                <w:szCs w:val="21"/>
              </w:rPr>
            </w:pPr>
            <w:r>
              <w:rPr>
                <w:rFonts w:hint="eastAsia" w:ascii="宋体" w:hAnsi="宋体" w:cs="宋体"/>
                <w:kern w:val="0"/>
                <w:szCs w:val="21"/>
              </w:rPr>
              <w:t>化工产品生产技术</w:t>
            </w:r>
          </w:p>
        </w:tc>
        <w:tc>
          <w:tcPr>
            <w:tcW w:w="657" w:type="dxa"/>
            <w:noWrap/>
            <w:vAlign w:val="center"/>
          </w:tcPr>
          <w:p>
            <w:pPr>
              <w:widowControl/>
              <w:jc w:val="left"/>
              <w:rPr>
                <w:rFonts w:ascii="宋体" w:cs="宋体"/>
                <w:kern w:val="0"/>
                <w:szCs w:val="21"/>
              </w:rPr>
            </w:pPr>
            <w:r>
              <w:rPr>
                <w:rFonts w:ascii="宋体" w:cs="宋体"/>
                <w:kern w:val="0"/>
                <w:szCs w:val="21"/>
              </w:rPr>
              <w:t>22</w:t>
            </w:r>
          </w:p>
        </w:tc>
        <w:tc>
          <w:tcPr>
            <w:tcW w:w="708" w:type="dxa"/>
            <w:noWrap/>
            <w:vAlign w:val="center"/>
          </w:tcPr>
          <w:p>
            <w:pPr>
              <w:widowControl/>
              <w:jc w:val="left"/>
              <w:rPr>
                <w:rFonts w:ascii="宋体" w:cs="宋体"/>
                <w:kern w:val="0"/>
                <w:szCs w:val="21"/>
              </w:rPr>
            </w:pPr>
            <w:r>
              <w:rPr>
                <w:rFonts w:ascii="宋体" w:cs="宋体"/>
                <w:kern w:val="0"/>
                <w:szCs w:val="21"/>
              </w:rPr>
              <w:t>48</w:t>
            </w:r>
          </w:p>
        </w:tc>
        <w:tc>
          <w:tcPr>
            <w:tcW w:w="709" w:type="dxa"/>
            <w:noWrap/>
            <w:vAlign w:val="center"/>
          </w:tcPr>
          <w:p>
            <w:pPr>
              <w:widowControl/>
              <w:jc w:val="left"/>
              <w:rPr>
                <w:rFonts w:ascii="宋体" w:cs="宋体"/>
                <w:kern w:val="0"/>
                <w:szCs w:val="21"/>
              </w:rPr>
            </w:pPr>
            <w:r>
              <w:rPr>
                <w:rFonts w:ascii="宋体" w:cs="宋体"/>
                <w:kern w:val="0"/>
                <w:szCs w:val="21"/>
              </w:rPr>
              <w:t>70</w:t>
            </w:r>
          </w:p>
        </w:tc>
        <w:tc>
          <w:tcPr>
            <w:tcW w:w="659" w:type="dxa"/>
            <w:vAlign w:val="center"/>
          </w:tcPr>
          <w:p>
            <w:pPr>
              <w:jc w:val="center"/>
              <w:rPr>
                <w:b/>
                <w:bCs/>
                <w:szCs w:val="21"/>
              </w:rPr>
            </w:pPr>
            <w:r>
              <w:rPr>
                <w:rFonts w:hint="eastAsia"/>
                <w:b/>
                <w:bCs/>
                <w:szCs w:val="21"/>
              </w:rPr>
              <w:t>3.5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5</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实践</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7</w:t>
            </w:r>
          </w:p>
        </w:tc>
        <w:tc>
          <w:tcPr>
            <w:tcW w:w="1418" w:type="dxa"/>
            <w:vAlign w:val="center"/>
          </w:tcPr>
          <w:p>
            <w:pPr>
              <w:widowControl/>
              <w:jc w:val="left"/>
              <w:rPr>
                <w:rFonts w:ascii="宋体" w:cs="宋体"/>
                <w:kern w:val="0"/>
                <w:szCs w:val="21"/>
              </w:rPr>
            </w:pPr>
            <w:r>
              <w:rPr>
                <w:rFonts w:ascii="宋体" w:cs="宋体"/>
                <w:kern w:val="0"/>
                <w:szCs w:val="21"/>
              </w:rPr>
              <w:t>精细化工生产技术</w:t>
            </w:r>
          </w:p>
        </w:tc>
        <w:tc>
          <w:tcPr>
            <w:tcW w:w="657" w:type="dxa"/>
            <w:noWrap/>
            <w:vAlign w:val="center"/>
          </w:tcPr>
          <w:p>
            <w:pPr>
              <w:widowControl/>
              <w:jc w:val="left"/>
              <w:rPr>
                <w:rFonts w:ascii="宋体" w:cs="宋体"/>
                <w:kern w:val="0"/>
                <w:szCs w:val="21"/>
              </w:rPr>
            </w:pPr>
            <w:r>
              <w:rPr>
                <w:rFonts w:ascii="宋体" w:cs="宋体"/>
                <w:kern w:val="0"/>
                <w:szCs w:val="21"/>
              </w:rPr>
              <w:t>54</w:t>
            </w:r>
          </w:p>
        </w:tc>
        <w:tc>
          <w:tcPr>
            <w:tcW w:w="708" w:type="dxa"/>
            <w:noWrap/>
            <w:vAlign w:val="center"/>
          </w:tcPr>
          <w:p>
            <w:pPr>
              <w:widowControl/>
              <w:jc w:val="left"/>
              <w:rPr>
                <w:rFonts w:ascii="宋体" w:cs="宋体"/>
                <w:kern w:val="0"/>
                <w:szCs w:val="21"/>
              </w:rPr>
            </w:pPr>
            <w:r>
              <w:rPr>
                <w:rFonts w:ascii="宋体" w:cs="宋体"/>
                <w:kern w:val="0"/>
                <w:szCs w:val="21"/>
              </w:rPr>
              <w:t>16</w:t>
            </w:r>
          </w:p>
        </w:tc>
        <w:tc>
          <w:tcPr>
            <w:tcW w:w="709" w:type="dxa"/>
            <w:noWrap/>
            <w:vAlign w:val="center"/>
          </w:tcPr>
          <w:p>
            <w:pPr>
              <w:widowControl/>
              <w:jc w:val="left"/>
              <w:rPr>
                <w:rFonts w:ascii="宋体" w:cs="宋体"/>
                <w:kern w:val="0"/>
                <w:szCs w:val="21"/>
              </w:rPr>
            </w:pPr>
            <w:r>
              <w:rPr>
                <w:rFonts w:ascii="宋体" w:cs="宋体"/>
                <w:kern w:val="0"/>
                <w:szCs w:val="21"/>
              </w:rPr>
              <w:t>70</w:t>
            </w:r>
          </w:p>
        </w:tc>
        <w:tc>
          <w:tcPr>
            <w:tcW w:w="659" w:type="dxa"/>
            <w:vAlign w:val="center"/>
          </w:tcPr>
          <w:p>
            <w:pPr>
              <w:jc w:val="center"/>
              <w:rPr>
                <w:b/>
                <w:bCs/>
                <w:szCs w:val="21"/>
              </w:rPr>
            </w:pPr>
            <w:r>
              <w:rPr>
                <w:rFonts w:hint="eastAsia"/>
                <w:b/>
                <w:bCs/>
                <w:szCs w:val="21"/>
              </w:rPr>
              <w:t>4</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5</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left"/>
              <w:rPr>
                <w:rFonts w:ascii="宋体" w:cs="宋体"/>
                <w:kern w:val="0"/>
                <w:szCs w:val="21"/>
              </w:rPr>
            </w:pPr>
            <w:r>
              <w:rPr>
                <w:rFonts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8</w:t>
            </w:r>
          </w:p>
        </w:tc>
        <w:tc>
          <w:tcPr>
            <w:tcW w:w="1418" w:type="dxa"/>
            <w:vAlign w:val="center"/>
          </w:tcPr>
          <w:p>
            <w:pPr>
              <w:widowControl/>
              <w:jc w:val="left"/>
              <w:rPr>
                <w:rFonts w:ascii="宋体" w:cs="宋体"/>
                <w:kern w:val="0"/>
                <w:szCs w:val="21"/>
              </w:rPr>
            </w:pPr>
            <w:r>
              <w:rPr>
                <w:rFonts w:ascii="宋体" w:cs="宋体"/>
                <w:kern w:val="0"/>
                <w:szCs w:val="21"/>
              </w:rPr>
              <w:t>硫酸生产技术</w:t>
            </w:r>
          </w:p>
        </w:tc>
        <w:tc>
          <w:tcPr>
            <w:tcW w:w="657" w:type="dxa"/>
            <w:noWrap/>
            <w:vAlign w:val="center"/>
          </w:tcPr>
          <w:p>
            <w:pPr>
              <w:widowControl/>
              <w:jc w:val="left"/>
              <w:rPr>
                <w:rFonts w:ascii="宋体" w:cs="宋体"/>
                <w:kern w:val="0"/>
                <w:szCs w:val="21"/>
              </w:rPr>
            </w:pPr>
            <w:r>
              <w:rPr>
                <w:rFonts w:ascii="宋体" w:cs="宋体"/>
                <w:kern w:val="0"/>
                <w:szCs w:val="21"/>
              </w:rPr>
              <w:t>34</w:t>
            </w:r>
          </w:p>
        </w:tc>
        <w:tc>
          <w:tcPr>
            <w:tcW w:w="708" w:type="dxa"/>
            <w:noWrap/>
            <w:vAlign w:val="center"/>
          </w:tcPr>
          <w:p>
            <w:pPr>
              <w:widowControl/>
              <w:jc w:val="left"/>
              <w:rPr>
                <w:rFonts w:ascii="宋体" w:cs="宋体"/>
                <w:kern w:val="0"/>
                <w:szCs w:val="21"/>
              </w:rPr>
            </w:pPr>
            <w:r>
              <w:rPr>
                <w:rFonts w:hint="eastAsia" w:ascii="宋体" w:cs="宋体"/>
                <w:kern w:val="0"/>
                <w:szCs w:val="21"/>
              </w:rPr>
              <w:t>3</w:t>
            </w:r>
            <w:r>
              <w:rPr>
                <w:rFonts w:ascii="宋体" w:cs="宋体"/>
                <w:kern w:val="0"/>
                <w:szCs w:val="21"/>
              </w:rPr>
              <w:t>6</w:t>
            </w:r>
          </w:p>
        </w:tc>
        <w:tc>
          <w:tcPr>
            <w:tcW w:w="709" w:type="dxa"/>
            <w:noWrap/>
            <w:vAlign w:val="center"/>
          </w:tcPr>
          <w:p>
            <w:pPr>
              <w:widowControl/>
              <w:jc w:val="left"/>
              <w:rPr>
                <w:rFonts w:ascii="宋体" w:cs="宋体"/>
                <w:kern w:val="0"/>
                <w:szCs w:val="21"/>
              </w:rPr>
            </w:pPr>
            <w:r>
              <w:rPr>
                <w:rFonts w:hint="eastAsia" w:ascii="宋体" w:cs="宋体"/>
                <w:kern w:val="0"/>
                <w:szCs w:val="21"/>
              </w:rPr>
              <w:t>70</w:t>
            </w:r>
          </w:p>
        </w:tc>
        <w:tc>
          <w:tcPr>
            <w:tcW w:w="659" w:type="dxa"/>
            <w:vAlign w:val="center"/>
          </w:tcPr>
          <w:p>
            <w:pPr>
              <w:jc w:val="center"/>
              <w:rPr>
                <w:b/>
                <w:bCs/>
                <w:szCs w:val="21"/>
              </w:rPr>
            </w:pPr>
            <w:r>
              <w:rPr>
                <w:rFonts w:hint="eastAsia"/>
                <w:b/>
                <w:bCs/>
                <w:szCs w:val="21"/>
              </w:rPr>
              <w:t>3.5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5</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1805" w:type="dxa"/>
            <w:gridSpan w:val="2"/>
            <w:noWrap/>
            <w:vAlign w:val="center"/>
          </w:tcPr>
          <w:p>
            <w:pPr>
              <w:widowControl/>
              <w:jc w:val="center"/>
              <w:rPr>
                <w:rFonts w:ascii="宋体" w:cs="宋体"/>
                <w:kern w:val="0"/>
                <w:szCs w:val="21"/>
              </w:rPr>
            </w:pPr>
            <w:r>
              <w:rPr>
                <w:rFonts w:hint="eastAsia" w:ascii="宋体" w:hAnsi="宋体" w:cs="宋体"/>
                <w:b/>
                <w:bCs/>
                <w:kern w:val="0"/>
                <w:szCs w:val="21"/>
              </w:rPr>
              <w:t>小计</w:t>
            </w:r>
          </w:p>
        </w:tc>
        <w:tc>
          <w:tcPr>
            <w:tcW w:w="657" w:type="dxa"/>
            <w:noWrap/>
            <w:vAlign w:val="center"/>
          </w:tcPr>
          <w:p>
            <w:pPr>
              <w:widowControl/>
              <w:jc w:val="right"/>
              <w:rPr>
                <w:b/>
              </w:rPr>
            </w:pPr>
            <w:r>
              <w:rPr>
                <w:rFonts w:hint="eastAsia"/>
                <w:b/>
              </w:rPr>
              <w:t>348</w:t>
            </w:r>
          </w:p>
        </w:tc>
        <w:tc>
          <w:tcPr>
            <w:tcW w:w="708" w:type="dxa"/>
            <w:noWrap/>
            <w:vAlign w:val="center"/>
          </w:tcPr>
          <w:p>
            <w:pPr>
              <w:jc w:val="right"/>
              <w:rPr>
                <w:b/>
              </w:rPr>
            </w:pPr>
            <w:r>
              <w:rPr>
                <w:rFonts w:hint="eastAsia"/>
                <w:b/>
              </w:rPr>
              <w:t>212</w:t>
            </w:r>
          </w:p>
        </w:tc>
        <w:tc>
          <w:tcPr>
            <w:tcW w:w="709" w:type="dxa"/>
            <w:noWrap/>
            <w:vAlign w:val="center"/>
          </w:tcPr>
          <w:p>
            <w:pPr>
              <w:jc w:val="right"/>
              <w:rPr>
                <w:b/>
              </w:rPr>
            </w:pPr>
            <w:r>
              <w:rPr>
                <w:rFonts w:hint="eastAsia"/>
                <w:b/>
              </w:rPr>
              <w:t>560</w:t>
            </w:r>
          </w:p>
        </w:tc>
        <w:tc>
          <w:tcPr>
            <w:tcW w:w="659" w:type="dxa"/>
            <w:vAlign w:val="center"/>
          </w:tcPr>
          <w:p>
            <w:pPr>
              <w:jc w:val="center"/>
              <w:rPr>
                <w:b/>
                <w:bCs/>
                <w:szCs w:val="21"/>
              </w:rPr>
            </w:pPr>
            <w:r>
              <w:rPr>
                <w:rFonts w:hint="eastAsia"/>
                <w:b/>
                <w:bCs/>
                <w:szCs w:val="21"/>
              </w:rPr>
              <w:t>30</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hAnsi="宋体"/>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p>
        </w:tc>
        <w:tc>
          <w:tcPr>
            <w:tcW w:w="681"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kern w:val="0"/>
                <w:szCs w:val="21"/>
              </w:rPr>
            </w:pPr>
          </w:p>
        </w:tc>
        <w:tc>
          <w:tcPr>
            <w:tcW w:w="453" w:type="dxa"/>
            <w:gridSpan w:val="2"/>
            <w:vMerge w:val="restart"/>
            <w:vAlign w:val="center"/>
          </w:tcPr>
          <w:p>
            <w:pPr>
              <w:widowControl/>
              <w:jc w:val="center"/>
              <w:rPr>
                <w:rFonts w:ascii="宋体" w:cs="宋体"/>
                <w:kern w:val="0"/>
                <w:szCs w:val="21"/>
              </w:rPr>
            </w:pPr>
            <w:r>
              <w:rPr>
                <w:rFonts w:hint="eastAsia" w:ascii="宋体" w:hAnsi="宋体" w:cs="宋体"/>
                <w:kern w:val="0"/>
                <w:szCs w:val="21"/>
              </w:rPr>
              <w:t>职业技能训练</w:t>
            </w:r>
          </w:p>
        </w:tc>
        <w:tc>
          <w:tcPr>
            <w:tcW w:w="387" w:type="dxa"/>
            <w:noWrap/>
            <w:vAlign w:val="center"/>
          </w:tcPr>
          <w:p>
            <w:pPr>
              <w:widowControl/>
              <w:jc w:val="left"/>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hAnsi="宋体" w:cs="宋体"/>
                <w:kern w:val="0"/>
                <w:szCs w:val="21"/>
              </w:rPr>
            </w:pPr>
            <w:r>
              <w:rPr>
                <w:rFonts w:ascii="宋体" w:hAnsi="宋体" w:cs="宋体"/>
                <w:kern w:val="0"/>
                <w:szCs w:val="21"/>
              </w:rPr>
              <w:t>化学检验技能实训</w:t>
            </w:r>
          </w:p>
        </w:tc>
        <w:tc>
          <w:tcPr>
            <w:tcW w:w="657" w:type="dxa"/>
            <w:noWrap/>
            <w:vAlign w:val="center"/>
          </w:tcPr>
          <w:p>
            <w:pPr>
              <w:widowControl/>
              <w:jc w:val="left"/>
              <w:rPr>
                <w:rFonts w:ascii="宋体" w:cs="宋体"/>
                <w:kern w:val="0"/>
                <w:szCs w:val="21"/>
              </w:rPr>
            </w:pPr>
            <w:r>
              <w:rPr>
                <w:rFonts w:ascii="宋体" w:cs="宋体"/>
                <w:kern w:val="0"/>
                <w:szCs w:val="21"/>
              </w:rPr>
              <w:t>0</w:t>
            </w:r>
          </w:p>
        </w:tc>
        <w:tc>
          <w:tcPr>
            <w:tcW w:w="708" w:type="dxa"/>
            <w:noWrap/>
            <w:vAlign w:val="center"/>
          </w:tcPr>
          <w:p>
            <w:pPr>
              <w:widowControl/>
              <w:jc w:val="left"/>
              <w:rPr>
                <w:rFonts w:ascii="宋体" w:cs="宋体"/>
                <w:kern w:val="0"/>
                <w:szCs w:val="21"/>
              </w:rPr>
            </w:pPr>
            <w:r>
              <w:rPr>
                <w:rFonts w:ascii="宋体" w:hAnsi="宋体" w:cs="宋体"/>
                <w:kern w:val="0"/>
                <w:szCs w:val="21"/>
              </w:rPr>
              <w:t>48</w:t>
            </w:r>
          </w:p>
        </w:tc>
        <w:tc>
          <w:tcPr>
            <w:tcW w:w="709" w:type="dxa"/>
            <w:noWrap/>
            <w:vAlign w:val="center"/>
          </w:tcPr>
          <w:p>
            <w:pPr>
              <w:widowControl/>
              <w:jc w:val="left"/>
              <w:rPr>
                <w:rFonts w:ascii="宋体" w:cs="宋体"/>
                <w:kern w:val="0"/>
                <w:szCs w:val="21"/>
              </w:rPr>
            </w:pPr>
            <w:r>
              <w:rPr>
                <w:rFonts w:ascii="宋体" w:hAnsi="宋体" w:cs="宋体"/>
                <w:kern w:val="0"/>
                <w:szCs w:val="21"/>
              </w:rPr>
              <w:t>48</w:t>
            </w:r>
          </w:p>
        </w:tc>
        <w:tc>
          <w:tcPr>
            <w:tcW w:w="659" w:type="dxa"/>
            <w:vAlign w:val="center"/>
          </w:tcPr>
          <w:p>
            <w:pPr>
              <w:widowControl/>
              <w:jc w:val="center"/>
              <w:rPr>
                <w:rFonts w:ascii="宋体" w:cs="宋体"/>
                <w:kern w:val="0"/>
                <w:szCs w:val="21"/>
              </w:rPr>
            </w:pPr>
            <w:r>
              <w:rPr>
                <w:rFonts w:hint="eastAsia" w:ascii="宋体" w:cs="宋体"/>
                <w:kern w:val="0"/>
                <w:szCs w:val="21"/>
              </w:rPr>
              <w:t>2</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2*24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实验报告</w:t>
            </w: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hAnsi="宋体" w:cs="宋体"/>
                <w:kern w:val="0"/>
                <w:szCs w:val="21"/>
              </w:rPr>
            </w:pPr>
            <w:r>
              <w:rPr>
                <w:rFonts w:ascii="宋体" w:hAnsi="宋体" w:cs="宋体"/>
                <w:kern w:val="0"/>
                <w:szCs w:val="21"/>
              </w:rPr>
              <w:t>化工制图与CAD实训</w:t>
            </w:r>
          </w:p>
        </w:tc>
        <w:tc>
          <w:tcPr>
            <w:tcW w:w="657" w:type="dxa"/>
            <w:noWrap/>
            <w:vAlign w:val="center"/>
          </w:tcPr>
          <w:p>
            <w:pPr>
              <w:widowControl/>
              <w:jc w:val="left"/>
              <w:rPr>
                <w:rFonts w:ascii="宋体" w:cs="宋体"/>
                <w:kern w:val="0"/>
                <w:szCs w:val="21"/>
              </w:rPr>
            </w:pPr>
            <w:r>
              <w:rPr>
                <w:rFonts w:ascii="宋体" w:cs="宋体"/>
                <w:kern w:val="0"/>
                <w:szCs w:val="21"/>
              </w:rPr>
              <w:t>0</w:t>
            </w:r>
          </w:p>
        </w:tc>
        <w:tc>
          <w:tcPr>
            <w:tcW w:w="708" w:type="dxa"/>
            <w:noWrap/>
            <w:vAlign w:val="center"/>
          </w:tcPr>
          <w:p>
            <w:pPr>
              <w:widowControl/>
              <w:jc w:val="left"/>
              <w:rPr>
                <w:rFonts w:ascii="宋体" w:cs="宋体"/>
                <w:kern w:val="0"/>
                <w:szCs w:val="21"/>
              </w:rPr>
            </w:pPr>
            <w:r>
              <w:rPr>
                <w:rFonts w:ascii="宋体" w:hAnsi="宋体" w:cs="宋体"/>
                <w:kern w:val="0"/>
                <w:szCs w:val="21"/>
              </w:rPr>
              <w:t>48</w:t>
            </w:r>
          </w:p>
        </w:tc>
        <w:tc>
          <w:tcPr>
            <w:tcW w:w="709" w:type="dxa"/>
            <w:noWrap/>
            <w:vAlign w:val="center"/>
          </w:tcPr>
          <w:p>
            <w:pPr>
              <w:widowControl/>
              <w:jc w:val="left"/>
              <w:rPr>
                <w:rFonts w:ascii="宋体" w:cs="宋体"/>
                <w:kern w:val="0"/>
                <w:szCs w:val="21"/>
              </w:rPr>
            </w:pPr>
            <w:r>
              <w:rPr>
                <w:rFonts w:ascii="宋体" w:hAnsi="宋体" w:cs="宋体"/>
                <w:kern w:val="0"/>
                <w:szCs w:val="21"/>
              </w:rPr>
              <w:t>48</w:t>
            </w:r>
          </w:p>
        </w:tc>
        <w:tc>
          <w:tcPr>
            <w:tcW w:w="659" w:type="dxa"/>
            <w:vAlign w:val="center"/>
          </w:tcPr>
          <w:p>
            <w:pPr>
              <w:widowControl/>
              <w:jc w:val="center"/>
              <w:rPr>
                <w:rFonts w:ascii="宋体" w:cs="宋体"/>
                <w:kern w:val="0"/>
                <w:szCs w:val="21"/>
              </w:rPr>
            </w:pPr>
            <w:r>
              <w:rPr>
                <w:rFonts w:hint="eastAsia" w:ascii="宋体" w:cs="宋体"/>
                <w:kern w:val="0"/>
                <w:szCs w:val="21"/>
              </w:rPr>
              <w:t>2</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2*24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实验报告</w:t>
            </w: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化工单元操作实训</w:t>
            </w:r>
          </w:p>
        </w:tc>
        <w:tc>
          <w:tcPr>
            <w:tcW w:w="657" w:type="dxa"/>
            <w:noWrap/>
            <w:vAlign w:val="center"/>
          </w:tcPr>
          <w:p>
            <w:pPr>
              <w:widowControl/>
              <w:jc w:val="left"/>
              <w:rPr>
                <w:rFonts w:ascii="宋体" w:cs="宋体"/>
                <w:kern w:val="0"/>
                <w:szCs w:val="21"/>
              </w:rPr>
            </w:pPr>
            <w:r>
              <w:rPr>
                <w:rFonts w:ascii="宋体" w:cs="宋体"/>
                <w:kern w:val="0"/>
                <w:szCs w:val="21"/>
              </w:rPr>
              <w:t>0</w:t>
            </w:r>
          </w:p>
        </w:tc>
        <w:tc>
          <w:tcPr>
            <w:tcW w:w="708" w:type="dxa"/>
            <w:noWrap/>
            <w:vAlign w:val="center"/>
          </w:tcPr>
          <w:p>
            <w:pPr>
              <w:widowControl/>
              <w:jc w:val="left"/>
              <w:rPr>
                <w:rFonts w:ascii="宋体" w:cs="宋体"/>
                <w:kern w:val="0"/>
                <w:szCs w:val="21"/>
              </w:rPr>
            </w:pPr>
            <w:r>
              <w:rPr>
                <w:rFonts w:ascii="宋体" w:hAnsi="宋体" w:cs="宋体"/>
                <w:kern w:val="0"/>
                <w:szCs w:val="21"/>
              </w:rPr>
              <w:t>48</w:t>
            </w:r>
          </w:p>
        </w:tc>
        <w:tc>
          <w:tcPr>
            <w:tcW w:w="709" w:type="dxa"/>
            <w:noWrap/>
            <w:vAlign w:val="center"/>
          </w:tcPr>
          <w:p>
            <w:pPr>
              <w:widowControl/>
              <w:jc w:val="left"/>
              <w:rPr>
                <w:rFonts w:ascii="宋体" w:cs="宋体"/>
                <w:kern w:val="0"/>
                <w:szCs w:val="21"/>
              </w:rPr>
            </w:pPr>
            <w:r>
              <w:rPr>
                <w:rFonts w:ascii="宋体" w:hAnsi="宋体" w:cs="宋体"/>
                <w:kern w:val="0"/>
                <w:szCs w:val="21"/>
              </w:rPr>
              <w:t>48</w:t>
            </w:r>
          </w:p>
        </w:tc>
        <w:tc>
          <w:tcPr>
            <w:tcW w:w="659" w:type="dxa"/>
            <w:vAlign w:val="center"/>
          </w:tcPr>
          <w:p>
            <w:pPr>
              <w:widowControl/>
              <w:jc w:val="center"/>
              <w:rPr>
                <w:rFonts w:ascii="宋体" w:cs="宋体"/>
                <w:kern w:val="0"/>
                <w:szCs w:val="21"/>
              </w:rPr>
            </w:pPr>
            <w:r>
              <w:rPr>
                <w:rFonts w:hint="eastAsia" w:ascii="宋体" w:cs="宋体"/>
                <w:kern w:val="0"/>
                <w:szCs w:val="21"/>
              </w:rPr>
              <w:t>2</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2*24</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实训报告</w:t>
            </w: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化工总控工实训</w:t>
            </w:r>
          </w:p>
        </w:tc>
        <w:tc>
          <w:tcPr>
            <w:tcW w:w="657" w:type="dxa"/>
            <w:noWrap/>
            <w:vAlign w:val="center"/>
          </w:tcPr>
          <w:p>
            <w:pPr>
              <w:widowControl/>
              <w:jc w:val="left"/>
              <w:rPr>
                <w:rFonts w:ascii="宋体" w:cs="宋体"/>
                <w:kern w:val="0"/>
                <w:szCs w:val="21"/>
              </w:rPr>
            </w:pPr>
            <w:r>
              <w:rPr>
                <w:rFonts w:ascii="宋体" w:cs="宋体"/>
                <w:kern w:val="0"/>
                <w:szCs w:val="21"/>
              </w:rPr>
              <w:t>0</w:t>
            </w:r>
          </w:p>
        </w:tc>
        <w:tc>
          <w:tcPr>
            <w:tcW w:w="708" w:type="dxa"/>
            <w:noWrap/>
            <w:vAlign w:val="center"/>
          </w:tcPr>
          <w:p>
            <w:pPr>
              <w:widowControl/>
              <w:jc w:val="left"/>
              <w:rPr>
                <w:rFonts w:ascii="宋体" w:cs="宋体"/>
                <w:kern w:val="0"/>
                <w:szCs w:val="21"/>
              </w:rPr>
            </w:pPr>
            <w:r>
              <w:rPr>
                <w:rFonts w:hint="eastAsia" w:ascii="宋体" w:cs="宋体"/>
                <w:kern w:val="0"/>
                <w:szCs w:val="21"/>
              </w:rPr>
              <w:t>96</w:t>
            </w:r>
          </w:p>
        </w:tc>
        <w:tc>
          <w:tcPr>
            <w:tcW w:w="709" w:type="dxa"/>
            <w:noWrap/>
            <w:vAlign w:val="center"/>
          </w:tcPr>
          <w:p>
            <w:pPr>
              <w:widowControl/>
              <w:jc w:val="left"/>
              <w:rPr>
                <w:rFonts w:ascii="宋体" w:cs="宋体"/>
                <w:kern w:val="0"/>
                <w:szCs w:val="21"/>
              </w:rPr>
            </w:pPr>
            <w:r>
              <w:rPr>
                <w:rFonts w:hint="eastAsia" w:ascii="宋体" w:cs="宋体"/>
                <w:kern w:val="0"/>
                <w:szCs w:val="21"/>
              </w:rPr>
              <w:t>96</w:t>
            </w:r>
          </w:p>
        </w:tc>
        <w:tc>
          <w:tcPr>
            <w:tcW w:w="659" w:type="dxa"/>
            <w:vAlign w:val="center"/>
          </w:tcPr>
          <w:p>
            <w:pPr>
              <w:widowControl/>
              <w:jc w:val="center"/>
              <w:rPr>
                <w:rFonts w:ascii="宋体" w:cs="宋体"/>
                <w:kern w:val="0"/>
                <w:szCs w:val="21"/>
              </w:rPr>
            </w:pPr>
            <w:r>
              <w:rPr>
                <w:rFonts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ascii="宋体" w:hAnsi="宋体" w:cs="宋体"/>
                <w:kern w:val="0"/>
                <w:szCs w:val="21"/>
              </w:rPr>
              <w:t>4*24</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ascii="宋体" w:cs="宋体"/>
                <w:kern w:val="0"/>
                <w:szCs w:val="21"/>
              </w:rPr>
              <w:t>实践</w:t>
            </w: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1805" w:type="dxa"/>
            <w:gridSpan w:val="2"/>
            <w:noWrap/>
            <w:vAlign w:val="center"/>
          </w:tcPr>
          <w:p>
            <w:pPr>
              <w:widowControl/>
              <w:jc w:val="center"/>
              <w:rPr>
                <w:rFonts w:ascii="宋体" w:hAnsi="宋体" w:cs="宋体"/>
                <w:kern w:val="0"/>
                <w:szCs w:val="21"/>
              </w:rPr>
            </w:pPr>
            <w:r>
              <w:rPr>
                <w:rFonts w:hint="eastAsia" w:ascii="宋体" w:hAnsi="宋体" w:cs="宋体"/>
                <w:b/>
                <w:bCs/>
                <w:kern w:val="0"/>
                <w:szCs w:val="21"/>
              </w:rPr>
              <w:t>小计</w:t>
            </w:r>
          </w:p>
        </w:tc>
        <w:tc>
          <w:tcPr>
            <w:tcW w:w="657" w:type="dxa"/>
            <w:noWrap/>
            <w:vAlign w:val="center"/>
          </w:tcPr>
          <w:p>
            <w:pPr>
              <w:widowControl/>
              <w:jc w:val="right"/>
              <w:rPr>
                <w:b/>
              </w:rPr>
            </w:pPr>
            <w:r>
              <w:rPr>
                <w:rFonts w:hint="eastAsia"/>
                <w:b/>
              </w:rPr>
              <w:t>0</w:t>
            </w:r>
          </w:p>
        </w:tc>
        <w:tc>
          <w:tcPr>
            <w:tcW w:w="708" w:type="dxa"/>
            <w:noWrap/>
            <w:vAlign w:val="center"/>
          </w:tcPr>
          <w:p>
            <w:pPr>
              <w:jc w:val="right"/>
              <w:rPr>
                <w:b/>
              </w:rPr>
            </w:pPr>
            <w:r>
              <w:rPr>
                <w:rFonts w:hint="eastAsia"/>
                <w:b/>
              </w:rPr>
              <w:t>240</w:t>
            </w:r>
          </w:p>
        </w:tc>
        <w:tc>
          <w:tcPr>
            <w:tcW w:w="709" w:type="dxa"/>
            <w:noWrap/>
            <w:vAlign w:val="center"/>
          </w:tcPr>
          <w:p>
            <w:pPr>
              <w:jc w:val="right"/>
              <w:rPr>
                <w:b/>
              </w:rPr>
            </w:pPr>
            <w:r>
              <w:rPr>
                <w:rFonts w:hint="eastAsia"/>
                <w:b/>
              </w:rPr>
              <w:t>240</w:t>
            </w:r>
          </w:p>
        </w:tc>
        <w:tc>
          <w:tcPr>
            <w:tcW w:w="659" w:type="dxa"/>
            <w:vAlign w:val="center"/>
          </w:tcPr>
          <w:p>
            <w:pPr>
              <w:widowControl/>
              <w:jc w:val="center"/>
              <w:rPr>
                <w:rFonts w:ascii="宋体" w:cs="宋体"/>
                <w:b/>
                <w:kern w:val="0"/>
                <w:szCs w:val="21"/>
              </w:rPr>
            </w:pPr>
            <w:r>
              <w:rPr>
                <w:rFonts w:hint="eastAsia" w:ascii="宋体" w:cs="宋体"/>
                <w:b/>
                <w:kern w:val="0"/>
                <w:szCs w:val="21"/>
              </w:rPr>
              <w:t>10</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kern w:val="0"/>
                <w:szCs w:val="21"/>
              </w:rPr>
            </w:pPr>
          </w:p>
        </w:tc>
        <w:tc>
          <w:tcPr>
            <w:tcW w:w="453" w:type="dxa"/>
            <w:gridSpan w:val="2"/>
            <w:vMerge w:val="restart"/>
            <w:vAlign w:val="center"/>
          </w:tcPr>
          <w:p>
            <w:pPr>
              <w:widowControl/>
              <w:jc w:val="center"/>
              <w:rPr>
                <w:rFonts w:ascii="宋体" w:cs="宋体"/>
                <w:kern w:val="0"/>
                <w:szCs w:val="21"/>
              </w:rPr>
            </w:pPr>
            <w:r>
              <w:rPr>
                <w:rFonts w:hint="eastAsia" w:ascii="宋体" w:hAnsi="宋体" w:cs="宋体"/>
                <w:kern w:val="0"/>
                <w:szCs w:val="21"/>
              </w:rPr>
              <w:t>综合实践</w:t>
            </w:r>
          </w:p>
        </w:tc>
        <w:tc>
          <w:tcPr>
            <w:tcW w:w="387" w:type="dxa"/>
            <w:noWrap/>
            <w:vAlign w:val="center"/>
          </w:tcPr>
          <w:p>
            <w:pPr>
              <w:widowControl/>
              <w:jc w:val="left"/>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cs="宋体"/>
                <w:kern w:val="0"/>
                <w:szCs w:val="21"/>
              </w:rPr>
            </w:pPr>
            <w:r>
              <w:rPr>
                <w:rFonts w:hint="eastAsia" w:ascii="宋体" w:hAnsi="宋体" w:cs="宋体"/>
                <w:kern w:val="0"/>
                <w:szCs w:val="21"/>
              </w:rPr>
              <w:t>认知实习</w:t>
            </w:r>
          </w:p>
        </w:tc>
        <w:tc>
          <w:tcPr>
            <w:tcW w:w="657" w:type="dxa"/>
            <w:noWrap/>
            <w:vAlign w:val="center"/>
          </w:tcPr>
          <w:p>
            <w:pPr>
              <w:widowControl/>
              <w:jc w:val="left"/>
              <w:rPr>
                <w:rFonts w:ascii="宋体" w:cs="宋体"/>
                <w:kern w:val="0"/>
                <w:szCs w:val="21"/>
              </w:rPr>
            </w:pPr>
            <w:r>
              <w:rPr>
                <w:rFonts w:ascii="宋体" w:cs="宋体"/>
                <w:kern w:val="0"/>
                <w:szCs w:val="21"/>
              </w:rPr>
              <w:t>0</w:t>
            </w:r>
          </w:p>
        </w:tc>
        <w:tc>
          <w:tcPr>
            <w:tcW w:w="708" w:type="dxa"/>
            <w:noWrap/>
            <w:vAlign w:val="center"/>
          </w:tcPr>
          <w:p>
            <w:pPr>
              <w:widowControl/>
              <w:jc w:val="left"/>
              <w:rPr>
                <w:rFonts w:ascii="宋体" w:cs="宋体"/>
                <w:kern w:val="0"/>
                <w:szCs w:val="21"/>
              </w:rPr>
            </w:pPr>
            <w:r>
              <w:rPr>
                <w:rFonts w:ascii="宋体" w:hAnsi="宋体" w:cs="宋体"/>
                <w:kern w:val="0"/>
                <w:szCs w:val="21"/>
              </w:rPr>
              <w:t>48</w:t>
            </w:r>
          </w:p>
        </w:tc>
        <w:tc>
          <w:tcPr>
            <w:tcW w:w="709" w:type="dxa"/>
            <w:noWrap/>
            <w:vAlign w:val="center"/>
          </w:tcPr>
          <w:p>
            <w:pPr>
              <w:widowControl/>
              <w:jc w:val="left"/>
              <w:rPr>
                <w:rFonts w:ascii="宋体" w:cs="宋体"/>
                <w:kern w:val="0"/>
                <w:szCs w:val="21"/>
              </w:rPr>
            </w:pPr>
            <w:r>
              <w:rPr>
                <w:rFonts w:ascii="宋体" w:hAnsi="宋体" w:cs="宋体"/>
                <w:kern w:val="0"/>
                <w:szCs w:val="21"/>
              </w:rPr>
              <w:t>48</w:t>
            </w:r>
          </w:p>
        </w:tc>
        <w:tc>
          <w:tcPr>
            <w:tcW w:w="659" w:type="dxa"/>
            <w:vAlign w:val="center"/>
          </w:tcPr>
          <w:p>
            <w:pPr>
              <w:widowControl/>
              <w:jc w:val="center"/>
              <w:rPr>
                <w:rFonts w:ascii="宋体" w:hAnsi="宋体" w:cs="宋体"/>
                <w:kern w:val="0"/>
                <w:szCs w:val="21"/>
              </w:rPr>
            </w:pPr>
            <w:r>
              <w:rPr>
                <w:rFonts w:ascii="宋体" w:hAnsi="宋体" w:cs="宋体"/>
                <w:kern w:val="0"/>
                <w:szCs w:val="21"/>
              </w:rPr>
              <w:t>2</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ascii="宋体" w:hAnsi="宋体" w:cs="宋体"/>
                <w:kern w:val="0"/>
                <w:szCs w:val="21"/>
              </w:rPr>
              <w:t>2*24</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cs="宋体"/>
                <w:kern w:val="0"/>
                <w:szCs w:val="21"/>
              </w:rPr>
            </w:pPr>
            <w:r>
              <w:rPr>
                <w:rFonts w:hint="eastAsia" w:ascii="宋体" w:hAnsi="宋体" w:cs="宋体"/>
                <w:kern w:val="0"/>
                <w:szCs w:val="21"/>
              </w:rPr>
              <w:t>专业综合技能训练（或跟岗实习）</w:t>
            </w:r>
          </w:p>
        </w:tc>
        <w:tc>
          <w:tcPr>
            <w:tcW w:w="657" w:type="dxa"/>
            <w:noWrap/>
            <w:vAlign w:val="center"/>
          </w:tcPr>
          <w:p>
            <w:pPr>
              <w:widowControl/>
              <w:jc w:val="left"/>
              <w:rPr>
                <w:rFonts w:ascii="宋体" w:cs="宋体"/>
                <w:kern w:val="0"/>
                <w:szCs w:val="21"/>
              </w:rPr>
            </w:pPr>
            <w:r>
              <w:rPr>
                <w:rFonts w:ascii="宋体" w:cs="宋体"/>
                <w:kern w:val="0"/>
                <w:szCs w:val="21"/>
              </w:rPr>
              <w:t>0</w:t>
            </w:r>
          </w:p>
        </w:tc>
        <w:tc>
          <w:tcPr>
            <w:tcW w:w="708" w:type="dxa"/>
            <w:noWrap/>
            <w:vAlign w:val="center"/>
          </w:tcPr>
          <w:p>
            <w:pPr>
              <w:widowControl/>
              <w:jc w:val="left"/>
              <w:rPr>
                <w:rFonts w:ascii="宋体" w:cs="宋体"/>
                <w:kern w:val="0"/>
                <w:szCs w:val="21"/>
              </w:rPr>
            </w:pPr>
            <w:r>
              <w:rPr>
                <w:rFonts w:hint="eastAsia" w:ascii="宋体" w:hAnsi="宋体" w:cs="宋体"/>
                <w:kern w:val="0"/>
                <w:szCs w:val="21"/>
              </w:rPr>
              <w:t>160</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160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left"/>
              <w:rPr>
                <w:rFonts w:ascii="宋体" w:hAnsi="宋体" w:cs="宋体"/>
                <w:kern w:val="0"/>
                <w:szCs w:val="21"/>
              </w:rPr>
            </w:pPr>
            <w:r>
              <w:rPr>
                <w:rFonts w:hint="eastAsia" w:ascii="宋体" w:hAnsi="宋体" w:cs="宋体"/>
                <w:kern w:val="0"/>
                <w:szCs w:val="21"/>
              </w:rPr>
              <w:t>8</w:t>
            </w:r>
            <w:r>
              <w:rPr>
                <w:rFonts w:ascii="宋体" w:hAnsi="宋体" w:cs="宋体"/>
                <w:kern w:val="0"/>
                <w:szCs w:val="21"/>
              </w:rPr>
              <w:t>*2</w:t>
            </w:r>
            <w:r>
              <w:rPr>
                <w:rFonts w:hint="eastAsia" w:ascii="宋体" w:hAnsi="宋体" w:cs="宋体"/>
                <w:kern w:val="0"/>
                <w:szCs w:val="21"/>
              </w:rPr>
              <w:t>0</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顶岗实习</w:t>
            </w:r>
          </w:p>
        </w:tc>
        <w:tc>
          <w:tcPr>
            <w:tcW w:w="657" w:type="dxa"/>
            <w:noWrap/>
            <w:vAlign w:val="center"/>
          </w:tcPr>
          <w:p>
            <w:pPr>
              <w:widowControl/>
              <w:jc w:val="left"/>
              <w:rPr>
                <w:rFonts w:ascii="宋体" w:cs="宋体"/>
                <w:kern w:val="0"/>
                <w:szCs w:val="21"/>
              </w:rPr>
            </w:pPr>
            <w:r>
              <w:rPr>
                <w:rFonts w:ascii="宋体" w:cs="宋体"/>
                <w:kern w:val="0"/>
                <w:szCs w:val="21"/>
              </w:rPr>
              <w:t>0</w:t>
            </w:r>
          </w:p>
        </w:tc>
        <w:tc>
          <w:tcPr>
            <w:tcW w:w="708" w:type="dxa"/>
            <w:noWrap/>
            <w:vAlign w:val="center"/>
          </w:tcPr>
          <w:p>
            <w:pPr>
              <w:widowControl/>
              <w:jc w:val="left"/>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rPr>
                <w:rFonts w:ascii="宋体" w:cs="宋体"/>
                <w:kern w:val="0"/>
                <w:szCs w:val="21"/>
              </w:rPr>
            </w:pPr>
            <w:r>
              <w:rPr>
                <w:rFonts w:hint="eastAsia" w:ascii="宋体" w:hAnsi="宋体" w:cs="宋体"/>
                <w:kern w:val="0"/>
                <w:szCs w:val="21"/>
              </w:rPr>
              <w:t>8*20</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16</w:t>
            </w:r>
            <w:r>
              <w:rPr>
                <w:rFonts w:ascii="宋体" w:hAnsi="宋体" w:cs="宋体"/>
                <w:kern w:val="0"/>
                <w:szCs w:val="21"/>
              </w:rPr>
              <w:t>*20</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Align w:val="center"/>
          </w:tcPr>
          <w:p>
            <w:pPr>
              <w:widowControl/>
              <w:jc w:val="left"/>
              <w:rPr>
                <w:rFonts w:ascii="宋体" w:cs="宋体"/>
                <w:kern w:val="0"/>
                <w:szCs w:val="21"/>
              </w:rPr>
            </w:pPr>
          </w:p>
        </w:tc>
        <w:tc>
          <w:tcPr>
            <w:tcW w:w="1805" w:type="dxa"/>
            <w:gridSpan w:val="2"/>
            <w:noWrap/>
            <w:vAlign w:val="center"/>
          </w:tcPr>
          <w:p>
            <w:pPr>
              <w:widowControl/>
              <w:jc w:val="center"/>
              <w:rPr>
                <w:rFonts w:ascii="宋体" w:hAnsi="宋体" w:cs="宋体"/>
                <w:kern w:val="0"/>
                <w:szCs w:val="21"/>
              </w:rPr>
            </w:pPr>
            <w:r>
              <w:rPr>
                <w:rFonts w:hint="eastAsia" w:ascii="宋体" w:hAnsi="宋体" w:cs="宋体"/>
                <w:b/>
                <w:bCs/>
                <w:kern w:val="0"/>
                <w:szCs w:val="21"/>
              </w:rPr>
              <w:t>小计</w:t>
            </w:r>
          </w:p>
        </w:tc>
        <w:tc>
          <w:tcPr>
            <w:tcW w:w="657" w:type="dxa"/>
            <w:noWrap/>
            <w:vAlign w:val="center"/>
          </w:tcPr>
          <w:p>
            <w:pPr>
              <w:widowControl/>
              <w:jc w:val="right"/>
              <w:rPr>
                <w:b/>
              </w:rPr>
            </w:pPr>
            <w:r>
              <w:rPr>
                <w:rFonts w:hint="eastAsia"/>
                <w:b/>
              </w:rPr>
              <w:t>0</w:t>
            </w:r>
          </w:p>
        </w:tc>
        <w:tc>
          <w:tcPr>
            <w:tcW w:w="708" w:type="dxa"/>
            <w:noWrap/>
            <w:vAlign w:val="center"/>
          </w:tcPr>
          <w:p>
            <w:pPr>
              <w:jc w:val="right"/>
              <w:rPr>
                <w:b/>
              </w:rPr>
            </w:pPr>
            <w:r>
              <w:rPr>
                <w:rFonts w:hint="eastAsia"/>
                <w:b/>
              </w:rPr>
              <w:t>688</w:t>
            </w:r>
          </w:p>
        </w:tc>
        <w:tc>
          <w:tcPr>
            <w:tcW w:w="709" w:type="dxa"/>
            <w:noWrap/>
            <w:vAlign w:val="center"/>
          </w:tcPr>
          <w:p>
            <w:pPr>
              <w:jc w:val="right"/>
              <w:rPr>
                <w:b/>
              </w:rPr>
            </w:pPr>
            <w:r>
              <w:rPr>
                <w:rFonts w:hint="eastAsia"/>
                <w:b/>
              </w:rPr>
              <w:t>688</w:t>
            </w:r>
          </w:p>
        </w:tc>
        <w:tc>
          <w:tcPr>
            <w:tcW w:w="659" w:type="dxa"/>
          </w:tcPr>
          <w:p>
            <w:pPr>
              <w:widowControl/>
              <w:jc w:val="center"/>
              <w:rPr>
                <w:rFonts w:ascii="宋体" w:hAnsi="宋体" w:cs="宋体"/>
                <w:b/>
                <w:bCs/>
                <w:kern w:val="0"/>
                <w:szCs w:val="21"/>
              </w:rPr>
            </w:pPr>
            <w:r>
              <w:rPr>
                <w:rFonts w:ascii="宋体" w:hAnsi="宋体" w:cs="宋体"/>
                <w:b/>
                <w:bCs/>
                <w:kern w:val="0"/>
                <w:szCs w:val="21"/>
              </w:rPr>
              <w:t>34</w:t>
            </w:r>
          </w:p>
        </w:tc>
        <w:tc>
          <w:tcPr>
            <w:tcW w:w="713" w:type="dxa"/>
            <w:noWrap/>
            <w:vAlign w:val="center"/>
          </w:tcPr>
          <w:p>
            <w:pPr>
              <w:widowControl/>
              <w:ind w:firstLine="211" w:firstLineChars="100"/>
              <w:jc w:val="left"/>
              <w:rPr>
                <w:rFonts w:ascii="宋体" w:cs="宋体"/>
                <w:b/>
                <w:bCs/>
                <w:kern w:val="0"/>
                <w:szCs w:val="21"/>
              </w:rPr>
            </w:pPr>
          </w:p>
        </w:tc>
        <w:tc>
          <w:tcPr>
            <w:tcW w:w="76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320　</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320　</w:t>
            </w:r>
          </w:p>
        </w:tc>
        <w:tc>
          <w:tcPr>
            <w:tcW w:w="823" w:type="dxa"/>
            <w:noWrap/>
            <w:vAlign w:val="center"/>
          </w:tcPr>
          <w:p>
            <w:pPr>
              <w:widowControl/>
              <w:jc w:val="left"/>
              <w:rPr>
                <w:rFonts w:ascii="宋体" w:hAnsi="宋体" w:cs="宋体"/>
                <w:kern w:val="0"/>
                <w:szCs w:val="21"/>
              </w:rPr>
            </w:pPr>
          </w:p>
        </w:tc>
        <w:tc>
          <w:tcPr>
            <w:tcW w:w="681" w:type="dxa"/>
            <w:noWrap/>
            <w:vAlign w:val="center"/>
          </w:tcPr>
          <w:p>
            <w:pPr>
              <w:widowControl/>
              <w:jc w:val="left"/>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kern w:val="0"/>
                <w:szCs w:val="21"/>
              </w:rPr>
            </w:pPr>
          </w:p>
        </w:tc>
        <w:tc>
          <w:tcPr>
            <w:tcW w:w="2258" w:type="dxa"/>
            <w:gridSpan w:val="4"/>
            <w:vAlign w:val="center"/>
          </w:tcPr>
          <w:p>
            <w:pPr>
              <w:widowControl/>
              <w:jc w:val="center"/>
              <w:rPr>
                <w:rFonts w:ascii="宋体" w:cs="宋体"/>
                <w:kern w:val="0"/>
                <w:szCs w:val="21"/>
              </w:rPr>
            </w:pPr>
            <w:r>
              <w:rPr>
                <w:rFonts w:ascii="宋体" w:cs="宋体"/>
                <w:b/>
                <w:bCs/>
                <w:kern w:val="0"/>
                <w:szCs w:val="21"/>
              </w:rPr>
              <w:t>合计</w:t>
            </w:r>
          </w:p>
        </w:tc>
        <w:tc>
          <w:tcPr>
            <w:tcW w:w="657" w:type="dxa"/>
            <w:noWrap/>
            <w:vAlign w:val="center"/>
          </w:tcPr>
          <w:p>
            <w:pPr>
              <w:widowControl/>
              <w:jc w:val="right"/>
              <w:rPr>
                <w:b/>
              </w:rPr>
            </w:pPr>
            <w:r>
              <w:rPr>
                <w:rFonts w:hint="eastAsia"/>
                <w:b/>
              </w:rPr>
              <w:t>600</w:t>
            </w:r>
          </w:p>
        </w:tc>
        <w:tc>
          <w:tcPr>
            <w:tcW w:w="708" w:type="dxa"/>
            <w:noWrap/>
            <w:vAlign w:val="center"/>
          </w:tcPr>
          <w:p>
            <w:pPr>
              <w:jc w:val="right"/>
              <w:rPr>
                <w:b/>
              </w:rPr>
            </w:pPr>
            <w:r>
              <w:rPr>
                <w:rFonts w:hint="eastAsia"/>
                <w:b/>
              </w:rPr>
              <w:t>1244</w:t>
            </w:r>
          </w:p>
        </w:tc>
        <w:tc>
          <w:tcPr>
            <w:tcW w:w="709" w:type="dxa"/>
            <w:noWrap/>
            <w:vAlign w:val="center"/>
          </w:tcPr>
          <w:p>
            <w:pPr>
              <w:jc w:val="right"/>
              <w:rPr>
                <w:b/>
              </w:rPr>
            </w:pPr>
            <w:r>
              <w:rPr>
                <w:rFonts w:hint="eastAsia"/>
                <w:b/>
              </w:rPr>
              <w:t>1844</w:t>
            </w:r>
          </w:p>
        </w:tc>
        <w:tc>
          <w:tcPr>
            <w:tcW w:w="659" w:type="dxa"/>
          </w:tcPr>
          <w:p>
            <w:pPr>
              <w:widowControl/>
              <w:jc w:val="left"/>
              <w:rPr>
                <w:rFonts w:ascii="宋体" w:hAnsi="宋体" w:cs="宋体"/>
                <w:b/>
                <w:bCs/>
                <w:kern w:val="0"/>
                <w:szCs w:val="21"/>
              </w:rPr>
            </w:pPr>
            <w:r>
              <w:rPr>
                <w:rFonts w:hint="eastAsia" w:ascii="宋体" w:hAnsi="宋体" w:cs="宋体"/>
                <w:b/>
                <w:bCs/>
                <w:kern w:val="0"/>
                <w:szCs w:val="21"/>
              </w:rPr>
              <w:t>93.</w:t>
            </w:r>
            <w:r>
              <w:rPr>
                <w:rFonts w:ascii="宋体" w:hAnsi="宋体" w:cs="宋体"/>
                <w:b/>
                <w:bCs/>
                <w:kern w:val="0"/>
                <w:szCs w:val="21"/>
              </w:rPr>
              <w:t>5</w:t>
            </w:r>
          </w:p>
        </w:tc>
        <w:tc>
          <w:tcPr>
            <w:tcW w:w="713" w:type="dxa"/>
            <w:noWrap/>
            <w:vAlign w:val="center"/>
          </w:tcPr>
          <w:p>
            <w:pPr>
              <w:widowControl/>
              <w:ind w:firstLine="211" w:firstLineChars="100"/>
              <w:jc w:val="left"/>
              <w:rPr>
                <w:rFonts w:ascii="宋体" w:cs="宋体"/>
                <w:b/>
                <w:bCs/>
                <w:kern w:val="0"/>
                <w:szCs w:val="21"/>
              </w:rPr>
            </w:pPr>
          </w:p>
        </w:tc>
        <w:tc>
          <w:tcPr>
            <w:tcW w:w="769" w:type="dxa"/>
            <w:noWrap/>
            <w:vAlign w:val="center"/>
          </w:tcPr>
          <w:p>
            <w:pPr>
              <w:widowControl/>
              <w:jc w:val="left"/>
              <w:rPr>
                <w:rFonts w:ascii="宋体" w:cs="宋体"/>
                <w:b/>
                <w:bCs/>
                <w:kern w:val="0"/>
                <w:szCs w:val="21"/>
              </w:rPr>
            </w:pPr>
          </w:p>
        </w:tc>
        <w:tc>
          <w:tcPr>
            <w:tcW w:w="709" w:type="dxa"/>
            <w:noWrap/>
            <w:vAlign w:val="center"/>
          </w:tcPr>
          <w:p>
            <w:pPr>
              <w:widowControl/>
              <w:jc w:val="left"/>
              <w:rPr>
                <w:rFonts w:ascii="宋体" w:cs="宋体"/>
                <w:b/>
                <w:bCs/>
                <w:kern w:val="0"/>
                <w:szCs w:val="21"/>
              </w:rPr>
            </w:pPr>
          </w:p>
        </w:tc>
        <w:tc>
          <w:tcPr>
            <w:tcW w:w="709" w:type="dxa"/>
            <w:noWrap/>
            <w:vAlign w:val="center"/>
          </w:tcPr>
          <w:p>
            <w:pPr>
              <w:widowControl/>
              <w:jc w:val="left"/>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jc w:val="left"/>
              <w:rPr>
                <w:rFonts w:ascii="宋体" w:cs="宋体"/>
                <w:kern w:val="0"/>
                <w:szCs w:val="21"/>
              </w:rPr>
            </w:pPr>
          </w:p>
        </w:tc>
        <w:tc>
          <w:tcPr>
            <w:tcW w:w="681" w:type="dxa"/>
            <w:noWrap/>
            <w:vAlign w:val="center"/>
          </w:tcPr>
          <w:p>
            <w:pPr>
              <w:widowControl/>
              <w:jc w:val="left"/>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2684" w:type="dxa"/>
            <w:gridSpan w:val="5"/>
            <w:noWrap/>
            <w:vAlign w:val="center"/>
          </w:tcPr>
          <w:p>
            <w:pPr>
              <w:widowControl/>
              <w:jc w:val="center"/>
              <w:rPr>
                <w:rFonts w:ascii="宋体" w:cs="宋体"/>
                <w:b/>
                <w:kern w:val="0"/>
                <w:szCs w:val="21"/>
              </w:rPr>
            </w:pPr>
            <w:r>
              <w:rPr>
                <w:rFonts w:hint="eastAsia" w:ascii="宋体" w:hAnsi="宋体" w:cs="宋体"/>
                <w:b/>
                <w:kern w:val="0"/>
                <w:szCs w:val="21"/>
              </w:rPr>
              <w:t>周课时</w:t>
            </w:r>
          </w:p>
        </w:tc>
        <w:tc>
          <w:tcPr>
            <w:tcW w:w="657" w:type="dxa"/>
            <w:noWrap/>
            <w:vAlign w:val="center"/>
          </w:tcPr>
          <w:p>
            <w:pPr>
              <w:widowControl/>
              <w:jc w:val="center"/>
              <w:rPr>
                <w:rFonts w:ascii="宋体" w:cs="宋体"/>
                <w:b/>
                <w:kern w:val="0"/>
                <w:szCs w:val="21"/>
              </w:rPr>
            </w:pPr>
          </w:p>
        </w:tc>
        <w:tc>
          <w:tcPr>
            <w:tcW w:w="708"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659" w:type="dxa"/>
          </w:tcPr>
          <w:p>
            <w:pPr>
              <w:widowControl/>
              <w:ind w:firstLine="103" w:firstLineChars="49"/>
              <w:jc w:val="center"/>
              <w:rPr>
                <w:rFonts w:ascii="宋体" w:hAnsi="宋体" w:cs="宋体"/>
                <w:b/>
                <w:bCs/>
                <w:kern w:val="0"/>
                <w:szCs w:val="21"/>
              </w:rPr>
            </w:pPr>
          </w:p>
        </w:tc>
        <w:tc>
          <w:tcPr>
            <w:tcW w:w="713" w:type="dxa"/>
            <w:noWrap/>
            <w:vAlign w:val="center"/>
          </w:tcPr>
          <w:p>
            <w:pPr>
              <w:widowControl/>
              <w:ind w:firstLine="103" w:firstLineChars="49"/>
              <w:jc w:val="center"/>
              <w:rPr>
                <w:rFonts w:ascii="宋体" w:cs="宋体"/>
                <w:b/>
                <w:bCs/>
                <w:kern w:val="0"/>
                <w:szCs w:val="21"/>
              </w:rPr>
            </w:pPr>
            <w:r>
              <w:rPr>
                <w:rFonts w:hint="eastAsia" w:ascii="宋体" w:cs="宋体"/>
                <w:b/>
                <w:bCs/>
                <w:kern w:val="0"/>
                <w:szCs w:val="21"/>
              </w:rPr>
              <w:t>2</w:t>
            </w:r>
            <w:r>
              <w:rPr>
                <w:rFonts w:ascii="宋体" w:cs="宋体"/>
                <w:b/>
                <w:bCs/>
                <w:kern w:val="0"/>
                <w:szCs w:val="21"/>
              </w:rPr>
              <w:t>6</w:t>
            </w:r>
          </w:p>
        </w:tc>
        <w:tc>
          <w:tcPr>
            <w:tcW w:w="769" w:type="dxa"/>
            <w:noWrap/>
            <w:vAlign w:val="center"/>
          </w:tcPr>
          <w:p>
            <w:pPr>
              <w:widowControl/>
              <w:jc w:val="center"/>
              <w:rPr>
                <w:rFonts w:ascii="宋体" w:cs="宋体"/>
                <w:b/>
                <w:bCs/>
                <w:kern w:val="0"/>
                <w:szCs w:val="21"/>
              </w:rPr>
            </w:pPr>
            <w:r>
              <w:rPr>
                <w:rFonts w:ascii="宋体" w:cs="宋体"/>
                <w:b/>
                <w:bCs/>
                <w:kern w:val="0"/>
                <w:szCs w:val="21"/>
              </w:rPr>
              <w:t>21</w:t>
            </w:r>
          </w:p>
        </w:tc>
        <w:tc>
          <w:tcPr>
            <w:tcW w:w="709" w:type="dxa"/>
            <w:noWrap/>
            <w:vAlign w:val="center"/>
          </w:tcPr>
          <w:p>
            <w:pPr>
              <w:widowControl/>
              <w:ind w:firstLine="207" w:firstLineChars="98"/>
              <w:jc w:val="center"/>
              <w:rPr>
                <w:rFonts w:ascii="宋体" w:cs="宋体"/>
                <w:b/>
                <w:bCs/>
                <w:kern w:val="0"/>
                <w:szCs w:val="21"/>
              </w:rPr>
            </w:pPr>
            <w:r>
              <w:rPr>
                <w:rFonts w:hint="eastAsia" w:ascii="宋体" w:cs="宋体"/>
                <w:b/>
                <w:bCs/>
                <w:kern w:val="0"/>
                <w:szCs w:val="21"/>
              </w:rPr>
              <w:t>26</w:t>
            </w:r>
          </w:p>
        </w:tc>
        <w:tc>
          <w:tcPr>
            <w:tcW w:w="709" w:type="dxa"/>
            <w:noWrap/>
            <w:vAlign w:val="center"/>
          </w:tcPr>
          <w:p>
            <w:pPr>
              <w:widowControl/>
              <w:jc w:val="center"/>
              <w:rPr>
                <w:rFonts w:ascii="宋体" w:cs="宋体"/>
                <w:b/>
                <w:kern w:val="0"/>
                <w:szCs w:val="21"/>
              </w:rPr>
            </w:pPr>
            <w:r>
              <w:rPr>
                <w:rFonts w:hint="eastAsia" w:ascii="宋体" w:cs="宋体"/>
                <w:b/>
                <w:kern w:val="0"/>
                <w:szCs w:val="21"/>
              </w:rPr>
              <w:t>31</w:t>
            </w:r>
          </w:p>
        </w:tc>
        <w:tc>
          <w:tcPr>
            <w:tcW w:w="741"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2684" w:type="dxa"/>
            <w:gridSpan w:val="5"/>
            <w:noWrap/>
            <w:vAlign w:val="center"/>
          </w:tcPr>
          <w:p>
            <w:pPr>
              <w:widowControl/>
              <w:jc w:val="center"/>
              <w:rPr>
                <w:rFonts w:ascii="宋体" w:cs="宋体"/>
                <w:b/>
                <w:bCs/>
                <w:kern w:val="0"/>
                <w:szCs w:val="21"/>
              </w:rPr>
            </w:pPr>
            <w:r>
              <w:rPr>
                <w:rFonts w:hint="eastAsia" w:ascii="宋体" w:hAnsi="宋体" w:cs="宋体"/>
                <w:b/>
                <w:bCs/>
                <w:kern w:val="0"/>
                <w:szCs w:val="21"/>
              </w:rPr>
              <w:t>总课时</w:t>
            </w:r>
          </w:p>
        </w:tc>
        <w:tc>
          <w:tcPr>
            <w:tcW w:w="657" w:type="dxa"/>
            <w:noWrap/>
            <w:vAlign w:val="center"/>
          </w:tcPr>
          <w:p>
            <w:pPr>
              <w:widowControl/>
              <w:jc w:val="right"/>
              <w:rPr>
                <w:b/>
              </w:rPr>
            </w:pPr>
            <w:r>
              <w:rPr>
                <w:rFonts w:hint="eastAsia"/>
                <w:b/>
              </w:rPr>
              <w:t>1232</w:t>
            </w:r>
          </w:p>
        </w:tc>
        <w:tc>
          <w:tcPr>
            <w:tcW w:w="708" w:type="dxa"/>
            <w:noWrap/>
            <w:vAlign w:val="center"/>
          </w:tcPr>
          <w:p>
            <w:pPr>
              <w:jc w:val="right"/>
              <w:rPr>
                <w:b/>
              </w:rPr>
            </w:pPr>
            <w:r>
              <w:rPr>
                <w:rFonts w:hint="eastAsia"/>
                <w:b/>
              </w:rPr>
              <w:t>1272</w:t>
            </w:r>
          </w:p>
        </w:tc>
        <w:tc>
          <w:tcPr>
            <w:tcW w:w="709" w:type="dxa"/>
            <w:noWrap/>
            <w:vAlign w:val="center"/>
          </w:tcPr>
          <w:p>
            <w:pPr>
              <w:jc w:val="right"/>
              <w:rPr>
                <w:b/>
              </w:rPr>
            </w:pPr>
            <w:r>
              <w:rPr>
                <w:rFonts w:hint="eastAsia"/>
                <w:b/>
              </w:rPr>
              <w:t>2504</w:t>
            </w:r>
          </w:p>
        </w:tc>
        <w:tc>
          <w:tcPr>
            <w:tcW w:w="659" w:type="dxa"/>
          </w:tcPr>
          <w:p>
            <w:pPr>
              <w:widowControl/>
              <w:jc w:val="center"/>
              <w:rPr>
                <w:rFonts w:ascii="宋体" w:hAnsi="宋体" w:cs="宋体"/>
                <w:b/>
                <w:kern w:val="0"/>
                <w:szCs w:val="21"/>
              </w:rPr>
            </w:pPr>
            <w:r>
              <w:rPr>
                <w:rFonts w:hint="eastAsia" w:ascii="宋体" w:hAnsi="宋体" w:cs="宋体"/>
                <w:b/>
                <w:kern w:val="0"/>
                <w:szCs w:val="21"/>
              </w:rPr>
              <w:t>133</w:t>
            </w:r>
          </w:p>
        </w:tc>
        <w:tc>
          <w:tcPr>
            <w:tcW w:w="713" w:type="dxa"/>
            <w:noWrap/>
            <w:vAlign w:val="center"/>
          </w:tcPr>
          <w:p>
            <w:pPr>
              <w:widowControl/>
              <w:jc w:val="center"/>
              <w:rPr>
                <w:rFonts w:ascii="宋体" w:cs="宋体"/>
                <w:b/>
                <w:kern w:val="0"/>
                <w:szCs w:val="21"/>
              </w:rPr>
            </w:pPr>
          </w:p>
        </w:tc>
        <w:tc>
          <w:tcPr>
            <w:tcW w:w="769"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bl>
    <w:p>
      <w:pPr>
        <w:adjustRightInd w:val="0"/>
        <w:spacing w:line="560" w:lineRule="exact"/>
        <w:ind w:firstLine="646" w:firstLineChars="268"/>
        <w:jc w:val="center"/>
        <w:rPr>
          <w:rFonts w:ascii="黑体" w:hAnsi="黑体" w:eastAsia="黑体"/>
          <w:b/>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sz w:val="24"/>
          <w:szCs w:val="24"/>
        </w:rPr>
        <w:sectPr>
          <w:pgSz w:w="11906" w:h="16838"/>
          <w:pgMar w:top="1440" w:right="1841" w:bottom="1440" w:left="1800" w:header="851" w:footer="992" w:gutter="0"/>
          <w:cols w:space="425" w:num="1"/>
          <w:docGrid w:type="lines" w:linePitch="312" w:charSpace="0"/>
        </w:sect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课程类型</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理论课时</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实践课时</w:t>
            </w:r>
          </w:p>
        </w:tc>
        <w:tc>
          <w:tcPr>
            <w:tcW w:w="80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小计</w:t>
            </w:r>
          </w:p>
        </w:tc>
        <w:tc>
          <w:tcPr>
            <w:tcW w:w="914"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632</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28</w:t>
            </w:r>
          </w:p>
        </w:tc>
        <w:tc>
          <w:tcPr>
            <w:tcW w:w="800" w:type="pct"/>
            <w:vAlign w:val="center"/>
          </w:tcPr>
          <w:p>
            <w:pPr>
              <w:adjustRightInd w:val="0"/>
              <w:spacing w:line="560" w:lineRule="exact"/>
              <w:jc w:val="center"/>
              <w:rPr>
                <w:rFonts w:ascii="宋体" w:hAnsi="宋体"/>
                <w:sz w:val="24"/>
                <w:szCs w:val="21"/>
              </w:rPr>
            </w:pPr>
            <w:r>
              <w:rPr>
                <w:rFonts w:ascii="宋体" w:hAnsi="宋体"/>
                <w:sz w:val="24"/>
                <w:szCs w:val="21"/>
              </w:rPr>
              <w:t>660</w:t>
            </w:r>
          </w:p>
        </w:tc>
        <w:tc>
          <w:tcPr>
            <w:tcW w:w="914" w:type="pct"/>
            <w:vAlign w:val="center"/>
          </w:tcPr>
          <w:p>
            <w:pPr>
              <w:adjustRightInd w:val="0"/>
              <w:spacing w:line="560" w:lineRule="exact"/>
              <w:jc w:val="center"/>
              <w:rPr>
                <w:rFonts w:hint="eastAsia" w:ascii="宋体" w:hAnsi="宋体" w:eastAsiaTheme="minorEastAsia"/>
                <w:sz w:val="24"/>
                <w:szCs w:val="21"/>
                <w:lang w:val="en-US" w:eastAsia="zh-CN"/>
              </w:rPr>
            </w:pPr>
            <w:r>
              <w:rPr>
                <w:rFonts w:ascii="宋体" w:hAnsi="宋体"/>
                <w:sz w:val="24"/>
                <w:szCs w:val="21"/>
              </w:rPr>
              <w:t>2</w:t>
            </w:r>
            <w:r>
              <w:rPr>
                <w:rFonts w:hint="eastAsia" w:ascii="宋体" w:hAnsi="宋体"/>
                <w:sz w:val="24"/>
                <w:szCs w:val="21"/>
              </w:rPr>
              <w:t>6.</w:t>
            </w:r>
            <w:r>
              <w:rPr>
                <w:rFonts w:ascii="宋体" w:hAnsi="宋体"/>
                <w:sz w:val="24"/>
                <w:szCs w:val="21"/>
              </w:rPr>
              <w:t>4</w:t>
            </w:r>
            <w:r>
              <w:rPr>
                <w:rFonts w:hint="eastAsia" w:ascii="宋体" w:hAnsi="宋体"/>
                <w:sz w:val="24"/>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其中：</w:t>
            </w:r>
            <w:r>
              <w:rPr>
                <w:rFonts w:ascii="宋体" w:hAnsi="宋体" w:cs="宋体"/>
                <w:b/>
                <w:kern w:val="0"/>
                <w:sz w:val="24"/>
                <w:szCs w:val="21"/>
              </w:rPr>
              <w:t>选修课</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252</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0</w:t>
            </w:r>
          </w:p>
        </w:tc>
        <w:tc>
          <w:tcPr>
            <w:tcW w:w="800" w:type="pct"/>
            <w:vAlign w:val="center"/>
          </w:tcPr>
          <w:p>
            <w:pPr>
              <w:adjustRightInd w:val="0"/>
              <w:spacing w:line="560" w:lineRule="exact"/>
              <w:jc w:val="center"/>
              <w:rPr>
                <w:rFonts w:ascii="宋体" w:hAnsi="宋体"/>
                <w:sz w:val="24"/>
                <w:szCs w:val="21"/>
              </w:rPr>
            </w:pPr>
            <w:r>
              <w:rPr>
                <w:rFonts w:ascii="宋体" w:hAnsi="宋体"/>
                <w:sz w:val="24"/>
                <w:szCs w:val="21"/>
              </w:rPr>
              <w:t>252</w:t>
            </w:r>
          </w:p>
        </w:tc>
        <w:tc>
          <w:tcPr>
            <w:tcW w:w="914"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10.</w:t>
            </w:r>
            <w:r>
              <w:rPr>
                <w:rFonts w:ascii="宋体" w:hAnsi="宋体"/>
                <w:sz w:val="24"/>
                <w:szCs w:val="21"/>
              </w:rPr>
              <w:t>1</w:t>
            </w:r>
            <w:r>
              <w:rPr>
                <w:rFonts w:hint="eastAsia" w:ascii="宋体" w:hAnsi="宋体"/>
                <w:sz w:val="24"/>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专业（技能）课</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600</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1244</w:t>
            </w:r>
          </w:p>
        </w:tc>
        <w:tc>
          <w:tcPr>
            <w:tcW w:w="800" w:type="pct"/>
            <w:vAlign w:val="center"/>
          </w:tcPr>
          <w:p>
            <w:pPr>
              <w:adjustRightInd w:val="0"/>
              <w:spacing w:line="560" w:lineRule="exact"/>
              <w:jc w:val="center"/>
              <w:rPr>
                <w:rFonts w:ascii="宋体" w:hAnsi="宋体"/>
                <w:sz w:val="24"/>
                <w:szCs w:val="21"/>
              </w:rPr>
            </w:pPr>
            <w:r>
              <w:rPr>
                <w:rFonts w:ascii="宋体" w:hAnsi="宋体"/>
                <w:sz w:val="24"/>
                <w:szCs w:val="21"/>
              </w:rPr>
              <w:t>1844</w:t>
            </w:r>
          </w:p>
        </w:tc>
        <w:tc>
          <w:tcPr>
            <w:tcW w:w="914"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73.</w:t>
            </w:r>
            <w:r>
              <w:rPr>
                <w:rFonts w:ascii="宋体" w:hAnsi="宋体"/>
                <w:sz w:val="24"/>
                <w:szCs w:val="21"/>
              </w:rPr>
              <w:t>6</w:t>
            </w:r>
            <w:r>
              <w:rPr>
                <w:rFonts w:hint="eastAsia" w:ascii="宋体" w:hAnsi="宋体"/>
                <w:sz w:val="24"/>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合计</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1232</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1272</w:t>
            </w:r>
          </w:p>
        </w:tc>
        <w:tc>
          <w:tcPr>
            <w:tcW w:w="800" w:type="pct"/>
            <w:vAlign w:val="center"/>
          </w:tcPr>
          <w:p>
            <w:pPr>
              <w:adjustRightInd w:val="0"/>
              <w:spacing w:line="560" w:lineRule="exact"/>
              <w:jc w:val="center"/>
              <w:rPr>
                <w:rFonts w:ascii="宋体" w:hAnsi="宋体"/>
                <w:sz w:val="24"/>
                <w:szCs w:val="21"/>
              </w:rPr>
            </w:pPr>
            <w:r>
              <w:rPr>
                <w:rFonts w:ascii="宋体" w:hAnsi="宋体"/>
                <w:sz w:val="24"/>
                <w:szCs w:val="21"/>
              </w:rPr>
              <w:t>2504</w:t>
            </w:r>
          </w:p>
        </w:tc>
        <w:tc>
          <w:tcPr>
            <w:tcW w:w="914"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100</w:t>
            </w:r>
            <w:r>
              <w:rPr>
                <w:rFonts w:hint="eastAsia" w:ascii="宋体" w:hAnsi="宋体"/>
                <w:sz w:val="24"/>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c>
          <w:tcPr>
            <w:tcW w:w="1028"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49.2</w:t>
            </w:r>
            <w:r>
              <w:rPr>
                <w:rFonts w:hint="eastAsia" w:ascii="宋体" w:hAnsi="宋体"/>
                <w:sz w:val="24"/>
                <w:szCs w:val="21"/>
                <w:lang w:val="en-US" w:eastAsia="zh-CN"/>
              </w:rPr>
              <w:t>%</w:t>
            </w:r>
          </w:p>
        </w:tc>
        <w:tc>
          <w:tcPr>
            <w:tcW w:w="1028"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50.8</w:t>
            </w:r>
            <w:r>
              <w:rPr>
                <w:rFonts w:hint="eastAsia" w:ascii="宋体" w:hAnsi="宋体"/>
                <w:sz w:val="24"/>
                <w:szCs w:val="21"/>
                <w:lang w:val="en-US" w:eastAsia="zh-CN"/>
              </w:rPr>
              <w:t>%</w:t>
            </w:r>
          </w:p>
        </w:tc>
        <w:tc>
          <w:tcPr>
            <w:tcW w:w="800" w:type="pct"/>
            <w:vAlign w:val="center"/>
          </w:tcPr>
          <w:p>
            <w:pPr>
              <w:adjustRightInd w:val="0"/>
              <w:spacing w:line="560" w:lineRule="exact"/>
              <w:jc w:val="center"/>
              <w:rPr>
                <w:rFonts w:ascii="宋体" w:hAnsi="宋体"/>
                <w:sz w:val="24"/>
                <w:szCs w:val="21"/>
              </w:rPr>
            </w:pPr>
            <w:r>
              <w:rPr>
                <w:rFonts w:hint="eastAsia" w:ascii="宋体" w:hAnsi="宋体"/>
                <w:sz w:val="24"/>
                <w:szCs w:val="21"/>
              </w:rPr>
              <w:t>100</w:t>
            </w:r>
          </w:p>
        </w:tc>
        <w:tc>
          <w:tcPr>
            <w:tcW w:w="914" w:type="pct"/>
            <w:vAlign w:val="center"/>
          </w:tcPr>
          <w:p>
            <w:pPr>
              <w:adjustRightInd w:val="0"/>
              <w:spacing w:line="560" w:lineRule="exact"/>
              <w:jc w:val="center"/>
              <w:rPr>
                <w:rFonts w:ascii="宋体" w:hAnsi="宋体"/>
                <w:sz w:val="24"/>
                <w:szCs w:val="21"/>
              </w:rPr>
            </w:pPr>
          </w:p>
        </w:tc>
      </w:tr>
    </w:tbl>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九、教学方式</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sz w:val="24"/>
          <w:szCs w:val="24"/>
        </w:rPr>
      </w:pPr>
      <w:r>
        <w:rPr>
          <w:rFonts w:ascii="黑体" w:hAnsi="黑体" w:eastAsia="黑体"/>
          <w:b/>
          <w:sz w:val="24"/>
          <w:szCs w:val="24"/>
        </w:rPr>
        <w:t>十、</w:t>
      </w:r>
      <w:r>
        <w:rPr>
          <w:rFonts w:hint="eastAsia" w:ascii="黑体" w:hAnsi="黑体" w:eastAsia="黑体"/>
          <w:b/>
          <w:sz w:val="24"/>
          <w:szCs w:val="24"/>
        </w:rPr>
        <w:t>实施保障</w:t>
      </w:r>
    </w:p>
    <w:p>
      <w:pPr>
        <w:adjustRightInd w:val="0"/>
        <w:spacing w:line="560" w:lineRule="exact"/>
        <w:ind w:firstLine="482" w:firstLineChars="200"/>
        <w:rPr>
          <w:rFonts w:asciiTheme="minorEastAsia" w:hAnsiTheme="minorEastAsia"/>
          <w:b/>
          <w:sz w:val="24"/>
          <w:szCs w:val="24"/>
        </w:rPr>
      </w:pPr>
      <w:r>
        <w:rPr>
          <w:rFonts w:asciiTheme="minorEastAsia" w:hAnsiTheme="minorEastAsia"/>
          <w:b/>
          <w:sz w:val="24"/>
          <w:szCs w:val="24"/>
        </w:rPr>
        <w:t>（</w:t>
      </w:r>
      <w:r>
        <w:rPr>
          <w:rFonts w:hint="eastAsia" w:asciiTheme="minorEastAsia" w:hAnsiTheme="minorEastAsia"/>
          <w:b/>
          <w:sz w:val="24"/>
          <w:szCs w:val="24"/>
        </w:rPr>
        <w:t>一</w:t>
      </w:r>
      <w:r>
        <w:rPr>
          <w:rFonts w:asciiTheme="minorEastAsia" w:hAnsiTheme="minorEastAsia"/>
          <w:b/>
          <w:sz w:val="24"/>
          <w:szCs w:val="24"/>
        </w:rPr>
        <w:t>）师资队伍</w:t>
      </w:r>
    </w:p>
    <w:p>
      <w:pPr>
        <w:spacing w:line="360" w:lineRule="auto"/>
        <w:ind w:firstLine="480" w:firstLineChars="200"/>
        <w:rPr>
          <w:rFonts w:ascii="宋体" w:hAnsi="宋体"/>
          <w:sz w:val="24"/>
        </w:rPr>
      </w:pPr>
      <w:r>
        <w:rPr>
          <w:rFonts w:hint="eastAsia" w:ascii="宋体" w:hAnsi="宋体"/>
          <w:sz w:val="24"/>
        </w:rPr>
        <w:t>能胜任本专业的教师有</w:t>
      </w:r>
      <w:r>
        <w:rPr>
          <w:rFonts w:ascii="宋体" w:hAnsi="宋体"/>
          <w:sz w:val="24"/>
        </w:rPr>
        <w:t>11</w:t>
      </w:r>
      <w:r>
        <w:rPr>
          <w:rFonts w:hint="eastAsia" w:ascii="宋体" w:hAnsi="宋体"/>
          <w:sz w:val="24"/>
        </w:rPr>
        <w:t>名，其中具有高级职称</w:t>
      </w:r>
      <w:r>
        <w:rPr>
          <w:rFonts w:ascii="宋体" w:hAnsi="宋体"/>
          <w:sz w:val="24"/>
        </w:rPr>
        <w:t>5</w:t>
      </w:r>
      <w:r>
        <w:rPr>
          <w:rFonts w:hint="eastAsia" w:ascii="宋体" w:hAnsi="宋体"/>
          <w:sz w:val="24"/>
        </w:rPr>
        <w:t>人、中级职称</w:t>
      </w:r>
      <w:r>
        <w:rPr>
          <w:rFonts w:ascii="宋体" w:hAnsi="宋体"/>
          <w:sz w:val="24"/>
        </w:rPr>
        <w:t>6</w:t>
      </w:r>
      <w:r>
        <w:rPr>
          <w:rFonts w:hint="eastAsia" w:ascii="宋体" w:hAnsi="宋体"/>
          <w:sz w:val="24"/>
        </w:rPr>
        <w:t>人、双师型教师有</w:t>
      </w:r>
      <w:r>
        <w:rPr>
          <w:rFonts w:ascii="宋体" w:hAnsi="宋体"/>
          <w:sz w:val="24"/>
        </w:rPr>
        <w:t>4人</w:t>
      </w:r>
      <w:r>
        <w:rPr>
          <w:rFonts w:hint="eastAsia" w:ascii="宋体" w:hAnsi="宋体"/>
          <w:sz w:val="24"/>
        </w:rPr>
        <w:t>，整体师资力量雄厚且学历层次高。他们都具有较高的专业理论水平及实习、实训的指导能力，不仅教书育人，还注重教学研究和科研工作，近几年在我省职业技能大赛和国家行业技能大赛指导中都取得了优异成绩。经后我们还将通过人才引进和人才培养改进师资队伍结构，充分利用在职培训、在职进修和参加各种学术交流等，进一步提高教师素质和能力。</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教学设施</w:t>
      </w:r>
    </w:p>
    <w:p>
      <w:pPr>
        <w:spacing w:line="360" w:lineRule="auto"/>
        <w:ind w:firstLine="566" w:firstLineChars="236"/>
        <w:rPr>
          <w:rFonts w:ascii="宋体" w:hAnsi="宋体" w:cs="宋体"/>
          <w:sz w:val="24"/>
        </w:rPr>
      </w:pPr>
      <w:r>
        <w:rPr>
          <w:rFonts w:hint="eastAsia" w:ascii="宋体" w:hAnsi="宋体" w:cs="宋体"/>
          <w:sz w:val="24"/>
        </w:rPr>
        <w:t>建设</w:t>
      </w:r>
      <w:r>
        <w:rPr>
          <w:rFonts w:hint="eastAsia" w:ascii="宋体" w:hAnsi="宋体"/>
          <w:sz w:val="24"/>
        </w:rPr>
        <w:t>有基础化学实训室、理化检测实训室、单元操作实训室、仿真操作实训室。</w:t>
      </w:r>
      <w:r>
        <w:rPr>
          <w:rFonts w:hint="eastAsia" w:ascii="宋体" w:hAnsi="宋体" w:cs="宋体"/>
          <w:sz w:val="24"/>
        </w:rPr>
        <w:t>主要校内实训基地情况见下表：</w:t>
      </w:r>
    </w:p>
    <w:tbl>
      <w:tblPr>
        <w:tblStyle w:val="11"/>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1337"/>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exact"/>
        </w:trPr>
        <w:tc>
          <w:tcPr>
            <w:tcW w:w="960" w:type="dxa"/>
            <w:vMerge w:val="restart"/>
            <w:vAlign w:val="center"/>
          </w:tcPr>
          <w:p>
            <w:pPr>
              <w:jc w:val="center"/>
              <w:rPr>
                <w:rFonts w:ascii="宋体" w:hAnsi="宋体"/>
                <w:b/>
                <w:szCs w:val="21"/>
              </w:rPr>
            </w:pPr>
            <w:r>
              <w:rPr>
                <w:rFonts w:ascii="宋体" w:hAnsi="宋体"/>
                <w:b/>
                <w:szCs w:val="21"/>
              </w:rPr>
              <w:t>序号</w:t>
            </w:r>
          </w:p>
        </w:tc>
        <w:tc>
          <w:tcPr>
            <w:tcW w:w="1337" w:type="dxa"/>
            <w:vMerge w:val="restart"/>
            <w:vAlign w:val="center"/>
          </w:tcPr>
          <w:p>
            <w:pPr>
              <w:jc w:val="center"/>
              <w:rPr>
                <w:rFonts w:ascii="宋体" w:hAnsi="宋体"/>
                <w:b/>
                <w:szCs w:val="21"/>
              </w:rPr>
            </w:pPr>
            <w:r>
              <w:rPr>
                <w:rFonts w:hint="eastAsia" w:ascii="宋体" w:hAnsi="宋体"/>
                <w:b/>
                <w:szCs w:val="21"/>
              </w:rPr>
              <w:t>实训室</w:t>
            </w:r>
            <w:r>
              <w:rPr>
                <w:rFonts w:ascii="宋体" w:hAnsi="宋体"/>
                <w:b/>
                <w:szCs w:val="21"/>
              </w:rPr>
              <w:t>名称</w:t>
            </w:r>
          </w:p>
        </w:tc>
        <w:tc>
          <w:tcPr>
            <w:tcW w:w="5954" w:type="dxa"/>
            <w:vMerge w:val="restart"/>
            <w:vAlign w:val="center"/>
          </w:tcPr>
          <w:p>
            <w:pPr>
              <w:jc w:val="center"/>
              <w:rPr>
                <w:rFonts w:ascii="宋体" w:hAnsi="宋体"/>
                <w:b/>
                <w:szCs w:val="21"/>
              </w:rPr>
            </w:pPr>
            <w:r>
              <w:rPr>
                <w:rFonts w:hint="eastAsia" w:ascii="宋体" w:hAnsi="宋体"/>
                <w:b/>
                <w:szCs w:val="21"/>
              </w:rPr>
              <w:t>主要实训设备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960" w:type="dxa"/>
            <w:vMerge w:val="continue"/>
            <w:vAlign w:val="center"/>
          </w:tcPr>
          <w:p>
            <w:pPr>
              <w:jc w:val="center"/>
              <w:rPr>
                <w:rFonts w:ascii="宋体" w:hAnsi="宋体"/>
                <w:b/>
                <w:szCs w:val="21"/>
              </w:rPr>
            </w:pPr>
          </w:p>
        </w:tc>
        <w:tc>
          <w:tcPr>
            <w:tcW w:w="1337" w:type="dxa"/>
            <w:vMerge w:val="continue"/>
            <w:vAlign w:val="center"/>
          </w:tcPr>
          <w:p>
            <w:pPr>
              <w:jc w:val="center"/>
              <w:rPr>
                <w:rFonts w:ascii="宋体" w:hAnsi="宋体"/>
                <w:b/>
                <w:szCs w:val="21"/>
              </w:rPr>
            </w:pPr>
          </w:p>
        </w:tc>
        <w:tc>
          <w:tcPr>
            <w:tcW w:w="5954" w:type="dxa"/>
            <w:vMerge w:val="continue"/>
            <w:vAlign w:val="center"/>
          </w:tcPr>
          <w:p>
            <w:pPr>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960" w:type="dxa"/>
            <w:vMerge w:val="continue"/>
            <w:vAlign w:val="center"/>
          </w:tcPr>
          <w:p>
            <w:pPr>
              <w:jc w:val="center"/>
              <w:rPr>
                <w:rFonts w:ascii="宋体" w:hAnsi="宋体"/>
                <w:b/>
                <w:szCs w:val="21"/>
              </w:rPr>
            </w:pPr>
          </w:p>
        </w:tc>
        <w:tc>
          <w:tcPr>
            <w:tcW w:w="1337" w:type="dxa"/>
            <w:vMerge w:val="continue"/>
            <w:vAlign w:val="center"/>
          </w:tcPr>
          <w:p>
            <w:pPr>
              <w:jc w:val="center"/>
              <w:rPr>
                <w:rFonts w:ascii="宋体" w:hAnsi="宋体"/>
                <w:b/>
                <w:szCs w:val="21"/>
              </w:rPr>
            </w:pPr>
          </w:p>
        </w:tc>
        <w:tc>
          <w:tcPr>
            <w:tcW w:w="5954" w:type="dxa"/>
            <w:vMerge w:val="continue"/>
            <w:vAlign w:val="center"/>
          </w:tcPr>
          <w:p>
            <w:pPr>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960" w:type="dxa"/>
            <w:vAlign w:val="center"/>
          </w:tcPr>
          <w:p>
            <w:pPr>
              <w:jc w:val="center"/>
              <w:rPr>
                <w:rFonts w:ascii="宋体" w:hAnsi="宋体"/>
                <w:szCs w:val="21"/>
              </w:rPr>
            </w:pPr>
            <w:r>
              <w:rPr>
                <w:rFonts w:ascii="宋体" w:hAnsi="宋体"/>
                <w:szCs w:val="21"/>
              </w:rPr>
              <w:t>1</w:t>
            </w:r>
          </w:p>
        </w:tc>
        <w:tc>
          <w:tcPr>
            <w:tcW w:w="1337" w:type="dxa"/>
            <w:vAlign w:val="center"/>
          </w:tcPr>
          <w:p>
            <w:pPr>
              <w:tabs>
                <w:tab w:val="left" w:pos="330"/>
                <w:tab w:val="right" w:leader="middleDot" w:pos="8820"/>
              </w:tabs>
              <w:spacing w:line="300" w:lineRule="exact"/>
              <w:ind w:left="-57" w:right="-57"/>
              <w:jc w:val="center"/>
              <w:rPr>
                <w:rFonts w:ascii="宋体" w:hAnsi="宋体"/>
                <w:szCs w:val="21"/>
              </w:rPr>
            </w:pPr>
            <w:r>
              <w:rPr>
                <w:rFonts w:hint="eastAsia" w:ascii="宋体" w:hAnsi="宋体"/>
                <w:szCs w:val="21"/>
              </w:rPr>
              <w:t>基础化学实训室</w:t>
            </w:r>
          </w:p>
        </w:tc>
        <w:tc>
          <w:tcPr>
            <w:tcW w:w="5954" w:type="dxa"/>
            <w:vAlign w:val="center"/>
          </w:tcPr>
          <w:p>
            <w:pPr>
              <w:tabs>
                <w:tab w:val="left" w:pos="330"/>
                <w:tab w:val="right" w:leader="middleDot" w:pos="8820"/>
              </w:tabs>
              <w:spacing w:before="100" w:after="100" w:line="280" w:lineRule="exact"/>
              <w:ind w:left="-57" w:leftChars="-27" w:right="-57"/>
              <w:rPr>
                <w:rFonts w:ascii="宋体" w:hAnsi="宋体"/>
                <w:szCs w:val="21"/>
              </w:rPr>
            </w:pPr>
            <w:r>
              <w:rPr>
                <w:rFonts w:hint="eastAsia" w:ascii="宋体" w:hAnsi="宋体"/>
                <w:szCs w:val="21"/>
              </w:rPr>
              <w:t>电子天平、马弗炉、烘箱、通风柜、标准实验台、蒸馏水发生器等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trPr>
        <w:tc>
          <w:tcPr>
            <w:tcW w:w="960" w:type="dxa"/>
            <w:vAlign w:val="center"/>
          </w:tcPr>
          <w:p>
            <w:pPr>
              <w:jc w:val="center"/>
              <w:rPr>
                <w:rFonts w:ascii="宋体" w:hAnsi="宋体"/>
                <w:szCs w:val="21"/>
              </w:rPr>
            </w:pPr>
            <w:r>
              <w:rPr>
                <w:rFonts w:ascii="宋体" w:hAnsi="宋体"/>
                <w:szCs w:val="21"/>
              </w:rPr>
              <w:t>2</w:t>
            </w:r>
          </w:p>
        </w:tc>
        <w:tc>
          <w:tcPr>
            <w:tcW w:w="1337" w:type="dxa"/>
            <w:vAlign w:val="center"/>
          </w:tcPr>
          <w:p>
            <w:pPr>
              <w:spacing w:line="300" w:lineRule="exact"/>
              <w:jc w:val="center"/>
              <w:rPr>
                <w:rFonts w:ascii="宋体" w:hAnsi="宋体"/>
                <w:szCs w:val="21"/>
              </w:rPr>
            </w:pPr>
            <w:r>
              <w:rPr>
                <w:rFonts w:hint="eastAsia" w:ascii="宋体" w:hAnsi="宋体"/>
                <w:szCs w:val="21"/>
              </w:rPr>
              <w:t>理化检测实训室</w:t>
            </w:r>
          </w:p>
        </w:tc>
        <w:tc>
          <w:tcPr>
            <w:tcW w:w="5954" w:type="dxa"/>
            <w:vAlign w:val="center"/>
          </w:tcPr>
          <w:p>
            <w:pPr>
              <w:tabs>
                <w:tab w:val="left" w:pos="330"/>
                <w:tab w:val="right" w:leader="middleDot" w:pos="8820"/>
              </w:tabs>
              <w:spacing w:before="100" w:after="100" w:line="280" w:lineRule="exact"/>
              <w:ind w:left="-57" w:leftChars="-27" w:right="-57"/>
              <w:rPr>
                <w:rFonts w:ascii="宋体" w:hAnsi="宋体"/>
                <w:szCs w:val="21"/>
              </w:rPr>
            </w:pPr>
            <w:r>
              <w:rPr>
                <w:rFonts w:hint="eastAsia" w:ascii="宋体" w:hAnsi="宋体"/>
                <w:szCs w:val="21"/>
              </w:rPr>
              <w:t>高效液相色谱仪、原子吸收分光光度计、紫外分光光度计、COD测定仪、高频红外碳硫分析仪、红外分光光度计、比色计、高纯水发生器、酸度计等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exact"/>
        </w:trPr>
        <w:tc>
          <w:tcPr>
            <w:tcW w:w="960" w:type="dxa"/>
            <w:vAlign w:val="center"/>
          </w:tcPr>
          <w:p>
            <w:pPr>
              <w:jc w:val="center"/>
              <w:rPr>
                <w:rFonts w:ascii="宋体" w:hAnsi="宋体"/>
                <w:szCs w:val="21"/>
              </w:rPr>
            </w:pPr>
            <w:r>
              <w:rPr>
                <w:rFonts w:ascii="宋体" w:hAnsi="宋体"/>
                <w:szCs w:val="21"/>
              </w:rPr>
              <w:t>3</w:t>
            </w:r>
          </w:p>
        </w:tc>
        <w:tc>
          <w:tcPr>
            <w:tcW w:w="1337" w:type="dxa"/>
            <w:vAlign w:val="center"/>
          </w:tcPr>
          <w:p>
            <w:pPr>
              <w:spacing w:line="300" w:lineRule="exact"/>
              <w:jc w:val="center"/>
              <w:rPr>
                <w:rFonts w:ascii="宋体" w:hAnsi="宋体"/>
                <w:szCs w:val="21"/>
              </w:rPr>
            </w:pPr>
            <w:r>
              <w:rPr>
                <w:rFonts w:hint="eastAsia" w:ascii="宋体" w:hAnsi="宋体"/>
                <w:szCs w:val="21"/>
              </w:rPr>
              <w:t>单元操作实训室</w:t>
            </w:r>
          </w:p>
        </w:tc>
        <w:tc>
          <w:tcPr>
            <w:tcW w:w="5954" w:type="dxa"/>
            <w:vAlign w:val="center"/>
          </w:tcPr>
          <w:p>
            <w:pPr>
              <w:tabs>
                <w:tab w:val="left" w:pos="330"/>
                <w:tab w:val="right" w:leader="middleDot" w:pos="8820"/>
              </w:tabs>
              <w:spacing w:before="100" w:after="100" w:line="280" w:lineRule="exact"/>
              <w:ind w:right="-57"/>
              <w:rPr>
                <w:rFonts w:ascii="宋体" w:hAnsi="宋体"/>
                <w:szCs w:val="21"/>
              </w:rPr>
            </w:pPr>
            <w:r>
              <w:rPr>
                <w:rFonts w:hint="eastAsia" w:ascii="宋体" w:hAnsi="宋体"/>
                <w:szCs w:val="21"/>
              </w:rPr>
              <w:t>常减压精馏装置、吸收装置、多功能流体输送装置、管路拆装实训装置、过滤、泵性能实训、换热器操作、萃取操作、阻力测定、干燥操作实训装置，色谱分析仪、工控系统等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exact"/>
        </w:trPr>
        <w:tc>
          <w:tcPr>
            <w:tcW w:w="960" w:type="dxa"/>
            <w:vAlign w:val="center"/>
          </w:tcPr>
          <w:p>
            <w:pPr>
              <w:jc w:val="center"/>
              <w:rPr>
                <w:rFonts w:ascii="宋体" w:hAnsi="宋体"/>
                <w:szCs w:val="21"/>
              </w:rPr>
            </w:pPr>
            <w:r>
              <w:rPr>
                <w:rFonts w:ascii="宋体" w:hAnsi="宋体"/>
                <w:szCs w:val="21"/>
              </w:rPr>
              <w:t>4</w:t>
            </w:r>
          </w:p>
        </w:tc>
        <w:tc>
          <w:tcPr>
            <w:tcW w:w="1337" w:type="dxa"/>
            <w:vAlign w:val="center"/>
          </w:tcPr>
          <w:p>
            <w:pPr>
              <w:spacing w:line="300" w:lineRule="exact"/>
              <w:jc w:val="center"/>
              <w:rPr>
                <w:rFonts w:ascii="宋体" w:hAnsi="宋体"/>
                <w:szCs w:val="21"/>
              </w:rPr>
            </w:pPr>
            <w:r>
              <w:rPr>
                <w:rFonts w:hint="eastAsia" w:ascii="宋体" w:hAnsi="宋体"/>
                <w:szCs w:val="21"/>
              </w:rPr>
              <w:t>化工仿真实训室</w:t>
            </w:r>
          </w:p>
        </w:tc>
        <w:tc>
          <w:tcPr>
            <w:tcW w:w="5954" w:type="dxa"/>
            <w:vAlign w:val="center"/>
          </w:tcPr>
          <w:p>
            <w:pPr>
              <w:tabs>
                <w:tab w:val="left" w:pos="2322"/>
              </w:tabs>
              <w:spacing w:line="300" w:lineRule="exact"/>
              <w:rPr>
                <w:rFonts w:ascii="宋体" w:hAnsi="宋体"/>
                <w:szCs w:val="21"/>
              </w:rPr>
            </w:pPr>
            <w:r>
              <w:rPr>
                <w:rFonts w:hint="eastAsia" w:ascii="宋体" w:hAnsi="宋体" w:cs="宋体"/>
                <w:kern w:val="0"/>
                <w:szCs w:val="21"/>
              </w:rPr>
              <w:t>乙醛氧化制醋酸工艺仿真软件、合成氨工艺仿真软件、硫酸工艺仿真软件、甲醇合成工艺仿真软件、化工单元实习仿真软件、大型</w:t>
            </w:r>
            <w:r>
              <w:rPr>
                <w:rFonts w:hint="eastAsia" w:ascii="宋体" w:hAnsi="宋体"/>
                <w:szCs w:val="21"/>
              </w:rPr>
              <w:t>分析仪器仿真</w:t>
            </w:r>
            <w:r>
              <w:rPr>
                <w:rFonts w:hint="eastAsia" w:ascii="宋体" w:hAnsi="宋体" w:cs="宋体"/>
                <w:kern w:val="0"/>
                <w:szCs w:val="21"/>
              </w:rPr>
              <w:t>软件等，70台计算机</w:t>
            </w:r>
          </w:p>
        </w:tc>
      </w:tr>
    </w:tbl>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教学资源</w:t>
      </w:r>
    </w:p>
    <w:p>
      <w:pPr>
        <w:pStyle w:val="27"/>
        <w:spacing w:line="360" w:lineRule="auto"/>
        <w:ind w:left="-2" w:leftChars="-1" w:firstLine="480"/>
        <w:rPr>
          <w:rFonts w:ascii="宋体" w:hAnsi="宋体" w:cs="宋体"/>
          <w:sz w:val="24"/>
        </w:rPr>
      </w:pPr>
      <w:r>
        <w:rPr>
          <w:rFonts w:hint="eastAsia" w:ascii="宋体" w:hAnsi="宋体" w:cs="宋体"/>
          <w:sz w:val="24"/>
        </w:rPr>
        <w:t>与有色行业内部、铜陵及周边地区相关企业建有长期稳定的校外实训基地。学生大一至大二安排在校外实训基地进行认识实习和生产实习。由于兼职教师都是由工程师、技师类人员组成，这些企业兼职教师理论知识扎实，实践操作技能过硬，学生“出师”快，多数不到半年左右时间就能独立进行一些基本的生产操作，能对一些生产常见异常情况进行正确的分析判断，并在企业教师的指导下进行处理。已建有的化工实训基地主要有硫铁矿制酸流化床焙烧、气固分离、净化、转化与吸收操作；磷酸萃取与浓缩操作；磷铵中和与造粒操作；偏钛酸制取与煅烧，冶炼烟气制酸操作，碳酸二甲酯精馏操作；理化检测与分析操作；化工安全生产操作训练等。</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教学资源</w:t>
      </w:r>
    </w:p>
    <w:p>
      <w:pPr>
        <w:spacing w:line="560" w:lineRule="exact"/>
        <w:ind w:firstLine="424" w:firstLineChars="177"/>
        <w:jc w:val="left"/>
        <w:rPr>
          <w:rFonts w:asciiTheme="minorEastAsia" w:hAnsiTheme="minorEastAsia"/>
          <w:sz w:val="24"/>
          <w:szCs w:val="24"/>
        </w:rPr>
      </w:pPr>
      <w:r>
        <w:rPr>
          <w:rFonts w:hint="eastAsia" w:asciiTheme="minorEastAsia" w:hAnsiTheme="minorEastAsia"/>
          <w:sz w:val="24"/>
          <w:szCs w:val="24"/>
        </w:rPr>
        <w:t>教学资源主要包括能够满足学生专业学习、教师专业教学研究和教学实施所需的教材、图书文献及数字教学资源等。</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教学方法</w:t>
      </w:r>
    </w:p>
    <w:p>
      <w:pPr>
        <w:spacing w:line="360" w:lineRule="auto"/>
        <w:ind w:firstLine="480" w:firstLineChars="200"/>
        <w:rPr>
          <w:rFonts w:ascii="宋体" w:hAnsi="宋体" w:cs="宋体"/>
          <w:kern w:val="0"/>
          <w:sz w:val="24"/>
          <w:szCs w:val="24"/>
          <w:lang w:val="zh-CN"/>
        </w:rPr>
      </w:pPr>
      <w:r>
        <w:rPr>
          <w:rFonts w:hint="eastAsia" w:ascii="宋体" w:hAnsi="宋体" w:eastAsia="宋体" w:cs="宋体"/>
          <w:sz w:val="24"/>
          <w:szCs w:val="24"/>
        </w:rPr>
        <w:t>运用启发式、探究式、讨论式、参与式等教学方式，推行项目教学、案例教学、情景教学、工作过程导向教学，逐步形成以能力为本位的职业教育理论指导下的教学方法体系。</w:t>
      </w:r>
    </w:p>
    <w:p>
      <w:pPr>
        <w:spacing w:line="360" w:lineRule="auto"/>
        <w:ind w:firstLine="480" w:firstLineChars="200"/>
        <w:rPr>
          <w:rFonts w:ascii="宋体" w:hAnsi="宋体" w:cs="宋体"/>
          <w:sz w:val="24"/>
        </w:rPr>
      </w:pPr>
      <w:r>
        <w:rPr>
          <w:rFonts w:hint="eastAsia" w:ascii="宋体" w:hAnsi="宋体" w:cs="宋体"/>
          <w:sz w:val="24"/>
        </w:rPr>
        <w:t>职业基础课程以专业应用为目的，以必需、够用为度，培养学生的知识应用能力、基本操作能力和技术应用能力。职业技术课围绕专业高技能人才能力要求，培养学生专业能力，要有针对性、应用性和实用性，并能适当兼顾科技发展的先进性和综合性。</w:t>
      </w:r>
    </w:p>
    <w:p>
      <w:pPr>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具体如下：</w:t>
      </w:r>
    </w:p>
    <w:p>
      <w:pPr>
        <w:numPr>
          <w:ilvl w:val="0"/>
          <w:numId w:val="8"/>
        </w:numPr>
        <w:spacing w:line="360" w:lineRule="auto"/>
        <w:rPr>
          <w:sz w:val="24"/>
        </w:rPr>
      </w:pPr>
      <w:r>
        <w:rPr>
          <w:rFonts w:hint="eastAsia"/>
          <w:sz w:val="24"/>
        </w:rPr>
        <w:t>化工设备基础、化工仪表及自动化、环保概论、化工安全技术、化工技术经济等课程建议使用案例教学法。</w:t>
      </w:r>
    </w:p>
    <w:p>
      <w:pPr>
        <w:numPr>
          <w:ilvl w:val="0"/>
          <w:numId w:val="8"/>
        </w:numPr>
        <w:spacing w:line="360" w:lineRule="auto"/>
        <w:rPr>
          <w:sz w:val="24"/>
        </w:rPr>
      </w:pPr>
      <w:r>
        <w:rPr>
          <w:rFonts w:hint="eastAsia"/>
          <w:sz w:val="24"/>
        </w:rPr>
        <w:t>化学反应过程与设备、工业分析、精细化工生产技术课程建议使用项目教学法。</w:t>
      </w:r>
    </w:p>
    <w:p>
      <w:pPr>
        <w:numPr>
          <w:ilvl w:val="0"/>
          <w:numId w:val="8"/>
        </w:numPr>
        <w:spacing w:line="360" w:lineRule="auto"/>
        <w:rPr>
          <w:sz w:val="24"/>
        </w:rPr>
      </w:pPr>
      <w:r>
        <w:rPr>
          <w:rFonts w:hint="eastAsia"/>
          <w:sz w:val="24"/>
        </w:rPr>
        <w:t>对于实践性很强的课程，如基础化学、化工单元操作、化工生产技术建议采用“教、学、做”一体化教学方式。</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教学评价</w:t>
      </w:r>
    </w:p>
    <w:p>
      <w:pPr>
        <w:spacing w:line="560" w:lineRule="exact"/>
        <w:ind w:left="-2" w:leftChars="-1" w:firstLine="424" w:firstLineChars="177"/>
        <w:rPr>
          <w:rFonts w:asciiTheme="minorEastAsia" w:hAnsiTheme="minorEastAsia"/>
          <w:sz w:val="24"/>
          <w:szCs w:val="24"/>
        </w:rPr>
      </w:pPr>
      <w:r>
        <w:rPr>
          <w:rFonts w:hint="eastAsia" w:asciiTheme="minorEastAsia" w:hAnsiTheme="minorEastAsia"/>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24" w:firstLineChars="177"/>
        <w:rPr>
          <w:rFonts w:asciiTheme="minorEastAsia" w:hAnsiTheme="minorEastAsia"/>
          <w:sz w:val="24"/>
          <w:szCs w:val="24"/>
        </w:rPr>
      </w:pPr>
      <w:r>
        <w:rPr>
          <w:rFonts w:hint="eastAsia" w:asciiTheme="minorEastAsia" w:hAnsiTheme="minorEastAsia"/>
          <w:sz w:val="24"/>
          <w:szCs w:val="24"/>
        </w:rPr>
        <w:t>2、考试方法可分为笔试、实践、网考、考证、技能竞赛、项目测试、课程设计、调研报告、读书笔记、案例分析、实训报告、作品、实习报告等。</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质量管理</w:t>
      </w:r>
    </w:p>
    <w:p>
      <w:pPr>
        <w:pStyle w:val="27"/>
        <w:spacing w:line="560" w:lineRule="exact"/>
        <w:ind w:left="2" w:firstLine="422" w:firstLineChars="176"/>
        <w:rPr>
          <w:rFonts w:asciiTheme="minorEastAsia" w:hAnsiTheme="minorEastAsia"/>
          <w:sz w:val="24"/>
          <w:szCs w:val="24"/>
        </w:rPr>
      </w:pPr>
      <w:r>
        <w:rPr>
          <w:rFonts w:hint="eastAsia" w:asciiTheme="minorEastAsia" w:hAnsiTheme="minorEastAsia"/>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pStyle w:val="27"/>
        <w:spacing w:line="560" w:lineRule="exact"/>
        <w:ind w:left="2" w:firstLine="422" w:firstLineChars="176"/>
        <w:rPr>
          <w:rFonts w:asciiTheme="minorEastAsia" w:hAnsiTheme="minorEastAsia"/>
          <w:sz w:val="24"/>
          <w:szCs w:val="24"/>
        </w:rPr>
      </w:pPr>
      <w:r>
        <w:rPr>
          <w:rFonts w:hint="eastAsia" w:asciiTheme="minorEastAsia" w:hAnsiTheme="minorEastAsia"/>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pStyle w:val="27"/>
        <w:spacing w:line="560" w:lineRule="exact"/>
        <w:ind w:left="2" w:firstLine="422" w:firstLineChars="176"/>
        <w:rPr>
          <w:rFonts w:asciiTheme="minorEastAsia" w:hAnsiTheme="minorEastAsia"/>
          <w:sz w:val="24"/>
          <w:szCs w:val="24"/>
        </w:rPr>
      </w:pPr>
      <w:r>
        <w:rPr>
          <w:rFonts w:hint="eastAsia" w:asciiTheme="minorEastAsia" w:hAnsiTheme="minorEastAsia"/>
          <w:sz w:val="24"/>
          <w:szCs w:val="24"/>
        </w:rPr>
        <w:t>3、学校应建立毕业生跟踪反馈机制及社会评价机制，并对生源情况、在校生学业水平、毕业生就业情况等进行分析，定期评价人才培养质量和培养目标达成情况。</w:t>
      </w:r>
    </w:p>
    <w:p>
      <w:pPr>
        <w:pStyle w:val="27"/>
        <w:spacing w:line="560" w:lineRule="exact"/>
        <w:ind w:left="2" w:firstLine="422" w:firstLineChars="176"/>
        <w:rPr>
          <w:rFonts w:asciiTheme="minorEastAsia" w:hAnsiTheme="minorEastAsia"/>
          <w:sz w:val="24"/>
          <w:szCs w:val="24"/>
        </w:rPr>
      </w:pPr>
      <w:r>
        <w:rPr>
          <w:rFonts w:hint="eastAsia" w:asciiTheme="minorEastAsia" w:hAnsiTheme="minorEastAsia"/>
          <w:sz w:val="24"/>
          <w:szCs w:val="24"/>
        </w:rPr>
        <w:t>4、专业教研室应充分利用评价分析结果有效改进专业教学，持续提高人才培养质量。</w:t>
      </w:r>
    </w:p>
    <w:p>
      <w:pPr>
        <w:pStyle w:val="27"/>
        <w:spacing w:line="560" w:lineRule="exact"/>
        <w:ind w:left="2" w:firstLine="424" w:firstLineChars="176"/>
        <w:rPr>
          <w:rFonts w:ascii="黑体" w:hAnsi="黑体" w:eastAsia="黑体"/>
          <w:b/>
          <w:sz w:val="24"/>
          <w:szCs w:val="24"/>
        </w:rPr>
      </w:pPr>
      <w:r>
        <w:rPr>
          <w:rFonts w:hint="eastAsia" w:ascii="黑体" w:hAnsi="黑体" w:eastAsia="黑体"/>
          <w:b/>
          <w:sz w:val="24"/>
          <w:szCs w:val="24"/>
        </w:rPr>
        <w:t>十一、</w:t>
      </w:r>
      <w:r>
        <w:rPr>
          <w:rFonts w:ascii="黑体" w:hAnsi="黑体" w:eastAsia="黑体"/>
          <w:b/>
          <w:sz w:val="24"/>
          <w:szCs w:val="24"/>
        </w:rPr>
        <w:t>毕业要求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按培养方案修完所有必修和选修课程并取得 13</w:t>
      </w:r>
      <w:r>
        <w:rPr>
          <w:rFonts w:asciiTheme="minorEastAsia" w:hAnsiTheme="minorEastAsia"/>
          <w:sz w:val="24"/>
          <w:szCs w:val="24"/>
        </w:rPr>
        <w:t>3</w:t>
      </w:r>
      <w:r>
        <w:rPr>
          <w:rFonts w:hint="eastAsia" w:asciiTheme="minorEastAsia" w:hAnsiTheme="minorEastAsia"/>
          <w:sz w:val="24"/>
          <w:szCs w:val="24"/>
        </w:rPr>
        <w:t>学分。学生取得的行业企业认可度高的有关职业资格证书、技能等级证书以及已掌握的有关技术技能，获得相关专业竞赛等级奖，可按一定规则折算为学历教育相应学分</w:t>
      </w:r>
      <w:r>
        <w:rPr>
          <w:rFonts w:hint="eastAsia" w:ascii="Calibri" w:hAnsi="Calibri" w:eastAsia="宋体" w:cs="Times New Roman"/>
        </w:rPr>
        <w:t>。</w:t>
      </w:r>
    </w:p>
    <w:p>
      <w:pPr>
        <w:spacing w:line="360" w:lineRule="auto"/>
        <w:ind w:firstLine="424" w:firstLineChars="177"/>
        <w:rPr>
          <w:rFonts w:ascii="宋体" w:hAnsi="宋体"/>
          <w:sz w:val="24"/>
        </w:rPr>
      </w:pPr>
      <w:r>
        <w:rPr>
          <w:rFonts w:hint="eastAsia" w:ascii="宋体" w:hAnsi="宋体"/>
          <w:sz w:val="24"/>
        </w:rPr>
        <w:t>方案制（修）定人：周玉琴 、赵景波、王小英、杨书怀、江安琪</w:t>
      </w:r>
    </w:p>
    <w:p>
      <w:pPr>
        <w:spacing w:line="560" w:lineRule="exact"/>
        <w:ind w:firstLine="560" w:firstLineChars="200"/>
        <w:rPr>
          <w:rFonts w:ascii="宋体" w:hAnsi="宋体" w:eastAsia="宋体" w:cs="宋体"/>
          <w:sz w:val="24"/>
          <w:szCs w:val="24"/>
        </w:rPr>
      </w:pPr>
      <w:r>
        <w:rPr>
          <w:rFonts w:hint="eastAsia" w:asciiTheme="minorEastAsia" w:hAnsiTheme="minorEastAsia"/>
          <w:sz w:val="28"/>
          <w:szCs w:val="28"/>
          <w:shd w:val="clear" w:color="auto" w:fill="FFFFFF"/>
        </w:rPr>
        <w:t>本方案适用于应用化技术扩招专业非退役军人生源类型</w:t>
      </w:r>
    </w:p>
    <w:p>
      <w:pPr>
        <w:spacing w:line="360" w:lineRule="auto"/>
        <w:ind w:firstLine="424" w:firstLineChars="177"/>
        <w:rPr>
          <w:rFonts w:ascii="宋体" w:hAnsi="宋体"/>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63AB4"/>
    <w:multiLevelType w:val="multilevel"/>
    <w:tmpl w:val="22C63AB4"/>
    <w:lvl w:ilvl="0" w:tentative="0">
      <w:start w:val="1"/>
      <w:numFmt w:val="decimal"/>
      <w:lvlText w:val="%1."/>
      <w:lvlJc w:val="left"/>
      <w:pPr>
        <w:ind w:left="839"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F7A1293"/>
    <w:multiLevelType w:val="multilevel"/>
    <w:tmpl w:val="2F7A1293"/>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340861A1"/>
    <w:multiLevelType w:val="multilevel"/>
    <w:tmpl w:val="340861A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4390F07"/>
    <w:multiLevelType w:val="multilevel"/>
    <w:tmpl w:val="44390F07"/>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444142F5"/>
    <w:multiLevelType w:val="multilevel"/>
    <w:tmpl w:val="444142F5"/>
    <w:lvl w:ilvl="0" w:tentative="0">
      <w:start w:val="1"/>
      <w:numFmt w:val="decimal"/>
      <w:lvlText w:val="%1."/>
      <w:lvlJc w:val="left"/>
      <w:pPr>
        <w:ind w:left="839" w:hanging="420"/>
      </w:pPr>
    </w:lvl>
    <w:lvl w:ilvl="1" w:tentative="0">
      <w:start w:val="1"/>
      <w:numFmt w:val="lowerLetter"/>
      <w:lvlText w:val="%2)"/>
      <w:lvlJc w:val="left"/>
      <w:pPr>
        <w:ind w:left="1259" w:hanging="420"/>
      </w:pPr>
    </w:lvl>
    <w:lvl w:ilvl="2" w:tentative="0">
      <w:start w:val="1"/>
      <w:numFmt w:val="lowerRoman"/>
      <w:lvlText w:val="%3."/>
      <w:lvlJc w:val="right"/>
      <w:pPr>
        <w:ind w:left="1679" w:hanging="420"/>
      </w:pPr>
    </w:lvl>
    <w:lvl w:ilvl="3" w:tentative="0">
      <w:start w:val="1"/>
      <w:numFmt w:val="decimal"/>
      <w:lvlText w:val="%4."/>
      <w:lvlJc w:val="left"/>
      <w:pPr>
        <w:ind w:left="2099" w:hanging="420"/>
      </w:pPr>
    </w:lvl>
    <w:lvl w:ilvl="4" w:tentative="0">
      <w:start w:val="1"/>
      <w:numFmt w:val="lowerLetter"/>
      <w:lvlText w:val="%5)"/>
      <w:lvlJc w:val="left"/>
      <w:pPr>
        <w:ind w:left="2519" w:hanging="420"/>
      </w:pPr>
    </w:lvl>
    <w:lvl w:ilvl="5" w:tentative="0">
      <w:start w:val="1"/>
      <w:numFmt w:val="lowerRoman"/>
      <w:lvlText w:val="%6."/>
      <w:lvlJc w:val="right"/>
      <w:pPr>
        <w:ind w:left="2939" w:hanging="420"/>
      </w:pPr>
    </w:lvl>
    <w:lvl w:ilvl="6" w:tentative="0">
      <w:start w:val="1"/>
      <w:numFmt w:val="decimal"/>
      <w:lvlText w:val="%7."/>
      <w:lvlJc w:val="left"/>
      <w:pPr>
        <w:ind w:left="3359" w:hanging="420"/>
      </w:pPr>
    </w:lvl>
    <w:lvl w:ilvl="7" w:tentative="0">
      <w:start w:val="1"/>
      <w:numFmt w:val="lowerLetter"/>
      <w:lvlText w:val="%8)"/>
      <w:lvlJc w:val="left"/>
      <w:pPr>
        <w:ind w:left="3779" w:hanging="420"/>
      </w:pPr>
    </w:lvl>
    <w:lvl w:ilvl="8" w:tentative="0">
      <w:start w:val="1"/>
      <w:numFmt w:val="lowerRoman"/>
      <w:lvlText w:val="%9."/>
      <w:lvlJc w:val="right"/>
      <w:pPr>
        <w:ind w:left="4199" w:hanging="420"/>
      </w:pPr>
    </w:lvl>
  </w:abstractNum>
  <w:abstractNum w:abstractNumId="5">
    <w:nsid w:val="44EB310B"/>
    <w:multiLevelType w:val="multilevel"/>
    <w:tmpl w:val="44EB310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5AB51F9"/>
    <w:multiLevelType w:val="multilevel"/>
    <w:tmpl w:val="55AB51F9"/>
    <w:lvl w:ilvl="0" w:tentative="0">
      <w:start w:val="1"/>
      <w:numFmt w:val="bullet"/>
      <w:lvlText w:val=""/>
      <w:lvlJc w:val="left"/>
      <w:pPr>
        <w:ind w:left="890" w:hanging="420"/>
      </w:pPr>
      <w:rPr>
        <w:rFonts w:hint="default" w:ascii="Wingdings" w:hAnsi="Wingdings"/>
      </w:rPr>
    </w:lvl>
    <w:lvl w:ilvl="1" w:tentative="0">
      <w:start w:val="1"/>
      <w:numFmt w:val="bullet"/>
      <w:lvlText w:val=""/>
      <w:lvlJc w:val="left"/>
      <w:pPr>
        <w:ind w:left="1310" w:hanging="420"/>
      </w:pPr>
      <w:rPr>
        <w:rFonts w:hint="default" w:ascii="Wingdings" w:hAnsi="Wingdings"/>
      </w:rPr>
    </w:lvl>
    <w:lvl w:ilvl="2" w:tentative="0">
      <w:start w:val="1"/>
      <w:numFmt w:val="bullet"/>
      <w:lvlText w:val=""/>
      <w:lvlJc w:val="left"/>
      <w:pPr>
        <w:ind w:left="1730" w:hanging="420"/>
      </w:pPr>
      <w:rPr>
        <w:rFonts w:hint="default" w:ascii="Wingdings" w:hAnsi="Wingdings"/>
      </w:rPr>
    </w:lvl>
    <w:lvl w:ilvl="3" w:tentative="0">
      <w:start w:val="1"/>
      <w:numFmt w:val="bullet"/>
      <w:lvlText w:val=""/>
      <w:lvlJc w:val="left"/>
      <w:pPr>
        <w:ind w:left="2150" w:hanging="420"/>
      </w:pPr>
      <w:rPr>
        <w:rFonts w:hint="default" w:ascii="Wingdings" w:hAnsi="Wingdings"/>
      </w:rPr>
    </w:lvl>
    <w:lvl w:ilvl="4" w:tentative="0">
      <w:start w:val="1"/>
      <w:numFmt w:val="bullet"/>
      <w:lvlText w:val=""/>
      <w:lvlJc w:val="left"/>
      <w:pPr>
        <w:ind w:left="2570" w:hanging="420"/>
      </w:pPr>
      <w:rPr>
        <w:rFonts w:hint="default" w:ascii="Wingdings" w:hAnsi="Wingdings"/>
      </w:rPr>
    </w:lvl>
    <w:lvl w:ilvl="5" w:tentative="0">
      <w:start w:val="1"/>
      <w:numFmt w:val="bullet"/>
      <w:lvlText w:val=""/>
      <w:lvlJc w:val="left"/>
      <w:pPr>
        <w:ind w:left="2990" w:hanging="420"/>
      </w:pPr>
      <w:rPr>
        <w:rFonts w:hint="default" w:ascii="Wingdings" w:hAnsi="Wingdings"/>
      </w:rPr>
    </w:lvl>
    <w:lvl w:ilvl="6" w:tentative="0">
      <w:start w:val="1"/>
      <w:numFmt w:val="bullet"/>
      <w:lvlText w:val=""/>
      <w:lvlJc w:val="left"/>
      <w:pPr>
        <w:ind w:left="3410" w:hanging="420"/>
      </w:pPr>
      <w:rPr>
        <w:rFonts w:hint="default" w:ascii="Wingdings" w:hAnsi="Wingdings"/>
      </w:rPr>
    </w:lvl>
    <w:lvl w:ilvl="7" w:tentative="0">
      <w:start w:val="1"/>
      <w:numFmt w:val="bullet"/>
      <w:lvlText w:val=""/>
      <w:lvlJc w:val="left"/>
      <w:pPr>
        <w:ind w:left="3830" w:hanging="420"/>
      </w:pPr>
      <w:rPr>
        <w:rFonts w:hint="default" w:ascii="Wingdings" w:hAnsi="Wingdings"/>
      </w:rPr>
    </w:lvl>
    <w:lvl w:ilvl="8" w:tentative="0">
      <w:start w:val="1"/>
      <w:numFmt w:val="bullet"/>
      <w:lvlText w:val=""/>
      <w:lvlJc w:val="left"/>
      <w:pPr>
        <w:ind w:left="4250" w:hanging="420"/>
      </w:pPr>
      <w:rPr>
        <w:rFonts w:hint="default" w:ascii="Wingdings" w:hAnsi="Wingdings"/>
      </w:rPr>
    </w:lvl>
  </w:abstractNum>
  <w:abstractNum w:abstractNumId="7">
    <w:nsid w:val="757013A2"/>
    <w:multiLevelType w:val="multilevel"/>
    <w:tmpl w:val="757013A2"/>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5"/>
  </w:num>
  <w:num w:numId="2">
    <w:abstractNumId w:val="2"/>
  </w:num>
  <w:num w:numId="3">
    <w:abstractNumId w:val="4"/>
  </w:num>
  <w:num w:numId="4">
    <w:abstractNumId w:val="0"/>
  </w:num>
  <w:num w:numId="5">
    <w:abstractNumId w:val="6"/>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1F4"/>
    <w:rsid w:val="00005971"/>
    <w:rsid w:val="00012D70"/>
    <w:rsid w:val="00017EDA"/>
    <w:rsid w:val="00040A35"/>
    <w:rsid w:val="000453A1"/>
    <w:rsid w:val="00052BF6"/>
    <w:rsid w:val="000569A9"/>
    <w:rsid w:val="00065790"/>
    <w:rsid w:val="000853D3"/>
    <w:rsid w:val="00097884"/>
    <w:rsid w:val="000A6A6C"/>
    <w:rsid w:val="000B074F"/>
    <w:rsid w:val="000B3C11"/>
    <w:rsid w:val="000C0377"/>
    <w:rsid w:val="000C2F03"/>
    <w:rsid w:val="000C6649"/>
    <w:rsid w:val="000D0A94"/>
    <w:rsid w:val="000D1A2C"/>
    <w:rsid w:val="000D3ECC"/>
    <w:rsid w:val="000F1328"/>
    <w:rsid w:val="000F18F1"/>
    <w:rsid w:val="000F42EF"/>
    <w:rsid w:val="000F4BB8"/>
    <w:rsid w:val="000F6871"/>
    <w:rsid w:val="001035C7"/>
    <w:rsid w:val="00112C0C"/>
    <w:rsid w:val="0013056F"/>
    <w:rsid w:val="0014384D"/>
    <w:rsid w:val="0015125B"/>
    <w:rsid w:val="00153B15"/>
    <w:rsid w:val="0015512F"/>
    <w:rsid w:val="0016096B"/>
    <w:rsid w:val="001610C9"/>
    <w:rsid w:val="001639F7"/>
    <w:rsid w:val="001900D6"/>
    <w:rsid w:val="001921CB"/>
    <w:rsid w:val="00194154"/>
    <w:rsid w:val="00196EBD"/>
    <w:rsid w:val="00197980"/>
    <w:rsid w:val="001A0330"/>
    <w:rsid w:val="001A3632"/>
    <w:rsid w:val="001B2A16"/>
    <w:rsid w:val="001B2FDB"/>
    <w:rsid w:val="001B35E5"/>
    <w:rsid w:val="001C044A"/>
    <w:rsid w:val="001C1711"/>
    <w:rsid w:val="001C5F64"/>
    <w:rsid w:val="001D4CE6"/>
    <w:rsid w:val="002009D9"/>
    <w:rsid w:val="0020187F"/>
    <w:rsid w:val="0020554A"/>
    <w:rsid w:val="00205707"/>
    <w:rsid w:val="002103C4"/>
    <w:rsid w:val="00217BF8"/>
    <w:rsid w:val="00223519"/>
    <w:rsid w:val="00223545"/>
    <w:rsid w:val="00223AB1"/>
    <w:rsid w:val="0022584F"/>
    <w:rsid w:val="00236886"/>
    <w:rsid w:val="00237260"/>
    <w:rsid w:val="00241F06"/>
    <w:rsid w:val="00250464"/>
    <w:rsid w:val="0025296E"/>
    <w:rsid w:val="00256CEB"/>
    <w:rsid w:val="00261BD6"/>
    <w:rsid w:val="00263F10"/>
    <w:rsid w:val="00264F13"/>
    <w:rsid w:val="00273273"/>
    <w:rsid w:val="002740D3"/>
    <w:rsid w:val="00276C99"/>
    <w:rsid w:val="00276EE3"/>
    <w:rsid w:val="00281BE4"/>
    <w:rsid w:val="00286E22"/>
    <w:rsid w:val="0029373A"/>
    <w:rsid w:val="002939EC"/>
    <w:rsid w:val="00295A2B"/>
    <w:rsid w:val="002A4827"/>
    <w:rsid w:val="002A7B2C"/>
    <w:rsid w:val="002D0C4A"/>
    <w:rsid w:val="002D5146"/>
    <w:rsid w:val="002D68D9"/>
    <w:rsid w:val="002E6232"/>
    <w:rsid w:val="002F24EA"/>
    <w:rsid w:val="00300D8E"/>
    <w:rsid w:val="0031121C"/>
    <w:rsid w:val="003141BA"/>
    <w:rsid w:val="00315829"/>
    <w:rsid w:val="00324B7B"/>
    <w:rsid w:val="00341D28"/>
    <w:rsid w:val="00346A0D"/>
    <w:rsid w:val="00360D78"/>
    <w:rsid w:val="0037018F"/>
    <w:rsid w:val="00371B83"/>
    <w:rsid w:val="00377EC1"/>
    <w:rsid w:val="00383CDE"/>
    <w:rsid w:val="0039003B"/>
    <w:rsid w:val="003923A1"/>
    <w:rsid w:val="0039744D"/>
    <w:rsid w:val="00397562"/>
    <w:rsid w:val="003A008C"/>
    <w:rsid w:val="003A215C"/>
    <w:rsid w:val="003A216A"/>
    <w:rsid w:val="003A496B"/>
    <w:rsid w:val="003B49A0"/>
    <w:rsid w:val="003D2D1D"/>
    <w:rsid w:val="003D58C8"/>
    <w:rsid w:val="003D5D5B"/>
    <w:rsid w:val="003E7F53"/>
    <w:rsid w:val="003F04B7"/>
    <w:rsid w:val="003F196F"/>
    <w:rsid w:val="00406C4F"/>
    <w:rsid w:val="00413257"/>
    <w:rsid w:val="004135CD"/>
    <w:rsid w:val="00414D11"/>
    <w:rsid w:val="004150D1"/>
    <w:rsid w:val="00444049"/>
    <w:rsid w:val="004573E5"/>
    <w:rsid w:val="004720E0"/>
    <w:rsid w:val="00475913"/>
    <w:rsid w:val="004840E8"/>
    <w:rsid w:val="00496368"/>
    <w:rsid w:val="004B33E8"/>
    <w:rsid w:val="004B73D5"/>
    <w:rsid w:val="004C1120"/>
    <w:rsid w:val="004C56EB"/>
    <w:rsid w:val="004D032E"/>
    <w:rsid w:val="004D5DD8"/>
    <w:rsid w:val="004E3018"/>
    <w:rsid w:val="004E6B01"/>
    <w:rsid w:val="005014DC"/>
    <w:rsid w:val="00511F4A"/>
    <w:rsid w:val="00512888"/>
    <w:rsid w:val="005130EE"/>
    <w:rsid w:val="00513DF9"/>
    <w:rsid w:val="0053172C"/>
    <w:rsid w:val="00535395"/>
    <w:rsid w:val="00541DF1"/>
    <w:rsid w:val="00554791"/>
    <w:rsid w:val="005555EE"/>
    <w:rsid w:val="0055728C"/>
    <w:rsid w:val="005627C5"/>
    <w:rsid w:val="00562E4B"/>
    <w:rsid w:val="005676AB"/>
    <w:rsid w:val="0057468B"/>
    <w:rsid w:val="005802CE"/>
    <w:rsid w:val="00584694"/>
    <w:rsid w:val="00586537"/>
    <w:rsid w:val="00591767"/>
    <w:rsid w:val="00595CE7"/>
    <w:rsid w:val="00597550"/>
    <w:rsid w:val="005A5023"/>
    <w:rsid w:val="005A581C"/>
    <w:rsid w:val="005A5A15"/>
    <w:rsid w:val="005A5C33"/>
    <w:rsid w:val="005B63CE"/>
    <w:rsid w:val="005C2144"/>
    <w:rsid w:val="005C4662"/>
    <w:rsid w:val="005C6DAA"/>
    <w:rsid w:val="005D2277"/>
    <w:rsid w:val="005D2356"/>
    <w:rsid w:val="005E0004"/>
    <w:rsid w:val="005F2E2A"/>
    <w:rsid w:val="005F68DC"/>
    <w:rsid w:val="005F6ED9"/>
    <w:rsid w:val="00604EF4"/>
    <w:rsid w:val="00605597"/>
    <w:rsid w:val="00606314"/>
    <w:rsid w:val="006251F4"/>
    <w:rsid w:val="00625BE4"/>
    <w:rsid w:val="00631229"/>
    <w:rsid w:val="006435F7"/>
    <w:rsid w:val="00652E09"/>
    <w:rsid w:val="00653EEC"/>
    <w:rsid w:val="00656DBA"/>
    <w:rsid w:val="00661317"/>
    <w:rsid w:val="00663468"/>
    <w:rsid w:val="006734F2"/>
    <w:rsid w:val="006804AD"/>
    <w:rsid w:val="00686E71"/>
    <w:rsid w:val="00690739"/>
    <w:rsid w:val="006942AB"/>
    <w:rsid w:val="006A278D"/>
    <w:rsid w:val="006A3D86"/>
    <w:rsid w:val="006B4F0F"/>
    <w:rsid w:val="006C3DB3"/>
    <w:rsid w:val="006D4564"/>
    <w:rsid w:val="006D487E"/>
    <w:rsid w:val="006E1B35"/>
    <w:rsid w:val="006E511D"/>
    <w:rsid w:val="006F6FB1"/>
    <w:rsid w:val="0070052B"/>
    <w:rsid w:val="0072139F"/>
    <w:rsid w:val="007253F6"/>
    <w:rsid w:val="007260C2"/>
    <w:rsid w:val="0072613E"/>
    <w:rsid w:val="00727273"/>
    <w:rsid w:val="00731977"/>
    <w:rsid w:val="0073477D"/>
    <w:rsid w:val="007426EB"/>
    <w:rsid w:val="00746F44"/>
    <w:rsid w:val="00755FE1"/>
    <w:rsid w:val="007624FC"/>
    <w:rsid w:val="007648A0"/>
    <w:rsid w:val="00764C54"/>
    <w:rsid w:val="00776362"/>
    <w:rsid w:val="00776EBB"/>
    <w:rsid w:val="007772A3"/>
    <w:rsid w:val="007775A3"/>
    <w:rsid w:val="0078591A"/>
    <w:rsid w:val="00794868"/>
    <w:rsid w:val="007A0890"/>
    <w:rsid w:val="007A18A1"/>
    <w:rsid w:val="007A2E31"/>
    <w:rsid w:val="007A61D8"/>
    <w:rsid w:val="007B38F1"/>
    <w:rsid w:val="007C0A56"/>
    <w:rsid w:val="007C318B"/>
    <w:rsid w:val="007C39A1"/>
    <w:rsid w:val="007C4D68"/>
    <w:rsid w:val="007F2BCF"/>
    <w:rsid w:val="007F52E4"/>
    <w:rsid w:val="007F55CD"/>
    <w:rsid w:val="0080384A"/>
    <w:rsid w:val="0080580F"/>
    <w:rsid w:val="00805BD5"/>
    <w:rsid w:val="008118C6"/>
    <w:rsid w:val="00814474"/>
    <w:rsid w:val="008148C6"/>
    <w:rsid w:val="00814EC5"/>
    <w:rsid w:val="008169D7"/>
    <w:rsid w:val="0081718A"/>
    <w:rsid w:val="008271AB"/>
    <w:rsid w:val="0084713C"/>
    <w:rsid w:val="008651B4"/>
    <w:rsid w:val="00865625"/>
    <w:rsid w:val="008656C7"/>
    <w:rsid w:val="00865B39"/>
    <w:rsid w:val="00871189"/>
    <w:rsid w:val="00872D44"/>
    <w:rsid w:val="00880C1A"/>
    <w:rsid w:val="0089016E"/>
    <w:rsid w:val="00890DDA"/>
    <w:rsid w:val="008A2101"/>
    <w:rsid w:val="008B0F3D"/>
    <w:rsid w:val="008B11AB"/>
    <w:rsid w:val="008B29DD"/>
    <w:rsid w:val="008B31DA"/>
    <w:rsid w:val="008B5D5B"/>
    <w:rsid w:val="008B5F55"/>
    <w:rsid w:val="008B6DD5"/>
    <w:rsid w:val="008C03FB"/>
    <w:rsid w:val="008C2020"/>
    <w:rsid w:val="008C31DF"/>
    <w:rsid w:val="008C3C25"/>
    <w:rsid w:val="008C51FC"/>
    <w:rsid w:val="008D5BCC"/>
    <w:rsid w:val="008E715C"/>
    <w:rsid w:val="008F3463"/>
    <w:rsid w:val="00915092"/>
    <w:rsid w:val="00927073"/>
    <w:rsid w:val="00934536"/>
    <w:rsid w:val="0094612A"/>
    <w:rsid w:val="00946E05"/>
    <w:rsid w:val="0095434B"/>
    <w:rsid w:val="009559B3"/>
    <w:rsid w:val="009612D3"/>
    <w:rsid w:val="009761F4"/>
    <w:rsid w:val="00983364"/>
    <w:rsid w:val="00986D81"/>
    <w:rsid w:val="009966AE"/>
    <w:rsid w:val="00997A45"/>
    <w:rsid w:val="009A1F55"/>
    <w:rsid w:val="009A49F5"/>
    <w:rsid w:val="009B38B7"/>
    <w:rsid w:val="009B6DCE"/>
    <w:rsid w:val="009C696D"/>
    <w:rsid w:val="009D0B83"/>
    <w:rsid w:val="009D33C8"/>
    <w:rsid w:val="009D551A"/>
    <w:rsid w:val="009D6B05"/>
    <w:rsid w:val="009D74CB"/>
    <w:rsid w:val="009E3D52"/>
    <w:rsid w:val="009F0625"/>
    <w:rsid w:val="009F644B"/>
    <w:rsid w:val="009F6C28"/>
    <w:rsid w:val="009F7ABD"/>
    <w:rsid w:val="00A006A4"/>
    <w:rsid w:val="00A02663"/>
    <w:rsid w:val="00A103D6"/>
    <w:rsid w:val="00A1667D"/>
    <w:rsid w:val="00A24207"/>
    <w:rsid w:val="00A25A42"/>
    <w:rsid w:val="00A3083F"/>
    <w:rsid w:val="00A36C9A"/>
    <w:rsid w:val="00A44841"/>
    <w:rsid w:val="00A44F20"/>
    <w:rsid w:val="00A53F85"/>
    <w:rsid w:val="00A673FE"/>
    <w:rsid w:val="00A74452"/>
    <w:rsid w:val="00A831AE"/>
    <w:rsid w:val="00A907E5"/>
    <w:rsid w:val="00A9643D"/>
    <w:rsid w:val="00AC2C78"/>
    <w:rsid w:val="00AC3EDE"/>
    <w:rsid w:val="00AC58CA"/>
    <w:rsid w:val="00AD3CA3"/>
    <w:rsid w:val="00AD60A6"/>
    <w:rsid w:val="00AD68A6"/>
    <w:rsid w:val="00AE2384"/>
    <w:rsid w:val="00AE285C"/>
    <w:rsid w:val="00AE7CC3"/>
    <w:rsid w:val="00AF19B1"/>
    <w:rsid w:val="00AF2499"/>
    <w:rsid w:val="00B003EE"/>
    <w:rsid w:val="00B00CDE"/>
    <w:rsid w:val="00B14A74"/>
    <w:rsid w:val="00B157B0"/>
    <w:rsid w:val="00B15BF3"/>
    <w:rsid w:val="00B2507E"/>
    <w:rsid w:val="00B300B0"/>
    <w:rsid w:val="00B35BD7"/>
    <w:rsid w:val="00B364EF"/>
    <w:rsid w:val="00B3742D"/>
    <w:rsid w:val="00B42279"/>
    <w:rsid w:val="00B44FA0"/>
    <w:rsid w:val="00B503FB"/>
    <w:rsid w:val="00B55B2A"/>
    <w:rsid w:val="00B62C5F"/>
    <w:rsid w:val="00B62FF7"/>
    <w:rsid w:val="00B7679E"/>
    <w:rsid w:val="00B86F11"/>
    <w:rsid w:val="00B873B1"/>
    <w:rsid w:val="00B910D2"/>
    <w:rsid w:val="00BA096B"/>
    <w:rsid w:val="00BA20F0"/>
    <w:rsid w:val="00BA3947"/>
    <w:rsid w:val="00BA495C"/>
    <w:rsid w:val="00BA69C5"/>
    <w:rsid w:val="00BB3DB2"/>
    <w:rsid w:val="00BC1057"/>
    <w:rsid w:val="00BC2889"/>
    <w:rsid w:val="00BD0756"/>
    <w:rsid w:val="00BD3FB3"/>
    <w:rsid w:val="00BD6148"/>
    <w:rsid w:val="00BE22A7"/>
    <w:rsid w:val="00BF3461"/>
    <w:rsid w:val="00C109D8"/>
    <w:rsid w:val="00C10E36"/>
    <w:rsid w:val="00C15354"/>
    <w:rsid w:val="00C20836"/>
    <w:rsid w:val="00C34118"/>
    <w:rsid w:val="00C4230B"/>
    <w:rsid w:val="00C618DE"/>
    <w:rsid w:val="00C6459E"/>
    <w:rsid w:val="00C71332"/>
    <w:rsid w:val="00C803ED"/>
    <w:rsid w:val="00C8164B"/>
    <w:rsid w:val="00C947A6"/>
    <w:rsid w:val="00C9513D"/>
    <w:rsid w:val="00CA0BA9"/>
    <w:rsid w:val="00CA25A3"/>
    <w:rsid w:val="00CA4D23"/>
    <w:rsid w:val="00CA7FF8"/>
    <w:rsid w:val="00CB3BA9"/>
    <w:rsid w:val="00CC2C2C"/>
    <w:rsid w:val="00CC460F"/>
    <w:rsid w:val="00CE0AB9"/>
    <w:rsid w:val="00CE12EC"/>
    <w:rsid w:val="00CE47B6"/>
    <w:rsid w:val="00CE50FD"/>
    <w:rsid w:val="00CE5BE1"/>
    <w:rsid w:val="00CF1EE9"/>
    <w:rsid w:val="00CF7772"/>
    <w:rsid w:val="00CF7CC3"/>
    <w:rsid w:val="00D0316F"/>
    <w:rsid w:val="00D05AF0"/>
    <w:rsid w:val="00D073FF"/>
    <w:rsid w:val="00D11BCE"/>
    <w:rsid w:val="00D174A4"/>
    <w:rsid w:val="00D305FA"/>
    <w:rsid w:val="00D34159"/>
    <w:rsid w:val="00D3697E"/>
    <w:rsid w:val="00D414C3"/>
    <w:rsid w:val="00D424C2"/>
    <w:rsid w:val="00D531F4"/>
    <w:rsid w:val="00D57AA1"/>
    <w:rsid w:val="00D63A5E"/>
    <w:rsid w:val="00D7351D"/>
    <w:rsid w:val="00D7384E"/>
    <w:rsid w:val="00D8629F"/>
    <w:rsid w:val="00D92AFB"/>
    <w:rsid w:val="00D95974"/>
    <w:rsid w:val="00DA61F6"/>
    <w:rsid w:val="00DA747F"/>
    <w:rsid w:val="00DB5096"/>
    <w:rsid w:val="00DB601B"/>
    <w:rsid w:val="00DC0188"/>
    <w:rsid w:val="00DC2922"/>
    <w:rsid w:val="00DC2E56"/>
    <w:rsid w:val="00DC3DC6"/>
    <w:rsid w:val="00DC596A"/>
    <w:rsid w:val="00DC7A78"/>
    <w:rsid w:val="00DF1CF3"/>
    <w:rsid w:val="00DF38D3"/>
    <w:rsid w:val="00E018CF"/>
    <w:rsid w:val="00E02548"/>
    <w:rsid w:val="00E127A2"/>
    <w:rsid w:val="00E20EE2"/>
    <w:rsid w:val="00E22D99"/>
    <w:rsid w:val="00E2787C"/>
    <w:rsid w:val="00E34B9E"/>
    <w:rsid w:val="00E43387"/>
    <w:rsid w:val="00E5083A"/>
    <w:rsid w:val="00E5424B"/>
    <w:rsid w:val="00E5439D"/>
    <w:rsid w:val="00E55989"/>
    <w:rsid w:val="00E5720B"/>
    <w:rsid w:val="00E61DEC"/>
    <w:rsid w:val="00E655E8"/>
    <w:rsid w:val="00E67295"/>
    <w:rsid w:val="00E71766"/>
    <w:rsid w:val="00E747A6"/>
    <w:rsid w:val="00E836A0"/>
    <w:rsid w:val="00E840F9"/>
    <w:rsid w:val="00E91BAD"/>
    <w:rsid w:val="00E953B0"/>
    <w:rsid w:val="00EA5598"/>
    <w:rsid w:val="00EB0EC3"/>
    <w:rsid w:val="00EB3822"/>
    <w:rsid w:val="00ED184F"/>
    <w:rsid w:val="00ED222F"/>
    <w:rsid w:val="00ED3CE5"/>
    <w:rsid w:val="00ED5B99"/>
    <w:rsid w:val="00EE3447"/>
    <w:rsid w:val="00EE349A"/>
    <w:rsid w:val="00EE3CDF"/>
    <w:rsid w:val="00EE3E8E"/>
    <w:rsid w:val="00EE64DF"/>
    <w:rsid w:val="00EF0E7D"/>
    <w:rsid w:val="00EF5FFB"/>
    <w:rsid w:val="00F022BC"/>
    <w:rsid w:val="00F0311B"/>
    <w:rsid w:val="00F21428"/>
    <w:rsid w:val="00F21598"/>
    <w:rsid w:val="00F22792"/>
    <w:rsid w:val="00F41A67"/>
    <w:rsid w:val="00F42F38"/>
    <w:rsid w:val="00F4480F"/>
    <w:rsid w:val="00F76A51"/>
    <w:rsid w:val="00FA65C0"/>
    <w:rsid w:val="00FB09C2"/>
    <w:rsid w:val="00FD4F5E"/>
    <w:rsid w:val="00FE7C18"/>
    <w:rsid w:val="00FF7053"/>
    <w:rsid w:val="07DB0E71"/>
    <w:rsid w:val="0CB569B0"/>
    <w:rsid w:val="11F1029A"/>
    <w:rsid w:val="16175B4D"/>
    <w:rsid w:val="217E733F"/>
    <w:rsid w:val="406537A4"/>
    <w:rsid w:val="410D29FA"/>
    <w:rsid w:val="5D6C5428"/>
    <w:rsid w:val="5D766430"/>
    <w:rsid w:val="6DE01CC1"/>
    <w:rsid w:val="767261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Balloon Text"/>
    <w:basedOn w:val="1"/>
    <w:link w:val="23"/>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eastAsia="宋体" w:cs="Times New Roman"/>
      <w:kern w:val="0"/>
      <w:sz w:val="24"/>
      <w:szCs w:val="24"/>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qFormat/>
    <w:uiPriority w:val="0"/>
    <w:rPr>
      <w:rFonts w:ascii="Times New Roman" w:hAnsi="Times New Roman" w:eastAsia="宋体" w:cs="Times New Roman"/>
      <w:sz w:val="24"/>
      <w:szCs w:val="20"/>
    </w:rPr>
  </w:style>
  <w:style w:type="character" w:customStyle="1" w:styleId="19">
    <w:name w:val="页眉 Char"/>
    <w:basedOn w:val="13"/>
    <w:link w:val="7"/>
    <w:qFormat/>
    <w:uiPriority w:val="99"/>
    <w:rPr>
      <w:sz w:val="18"/>
      <w:szCs w:val="18"/>
    </w:rPr>
  </w:style>
  <w:style w:type="character" w:customStyle="1" w:styleId="20">
    <w:name w:val="页脚 Char"/>
    <w:basedOn w:val="13"/>
    <w:link w:val="6"/>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5"/>
    <w:semiHidden/>
    <w:qFormat/>
    <w:uiPriority w:val="99"/>
    <w:rPr>
      <w:sz w:val="18"/>
      <w:szCs w:val="18"/>
    </w:rPr>
  </w:style>
  <w:style w:type="paragraph" w:customStyle="1" w:styleId="24">
    <w:name w:val="样式 行距: 最小值 22 磅"/>
    <w:basedOn w:val="1"/>
    <w:qFormat/>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qFormat/>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styleId="27">
    <w:name w:val="List Paragraph"/>
    <w:basedOn w:val="1"/>
    <w:qFormat/>
    <w:uiPriority w:val="34"/>
    <w:pPr>
      <w:ind w:firstLine="420" w:firstLineChars="200"/>
    </w:pPr>
  </w:style>
  <w:style w:type="paragraph" w:customStyle="1" w:styleId="28">
    <w:name w:val="样式"/>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30</Pages>
  <Words>3227</Words>
  <Characters>18400</Characters>
  <Lines>153</Lines>
  <Paragraphs>43</Paragraphs>
  <TotalTime>101</TotalTime>
  <ScaleCrop>false</ScaleCrop>
  <LinksUpToDate>false</LinksUpToDate>
  <CharactersWithSpaces>21584</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2020-02-11T04:56:00Z</dcterms:created>
  <dc:creator>hwl</dc:creator>
  <cp:lastModifiedBy>爱米果</cp:lastModifiedBy>
  <dcterms:modified xsi:type="dcterms:W3CDTF">2020-02-14T12:57:05Z</dcterms:modified>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