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安徽工业职业技术学院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eastAsia="zh-CN"/>
        </w:rPr>
        <w:t>数控技术</w:t>
      </w:r>
      <w:r>
        <w:rPr>
          <w:rFonts w:hint="eastAsia" w:asciiTheme="majorEastAsia" w:hAnsiTheme="majorEastAsia" w:eastAsiaTheme="majorEastAsia"/>
          <w:color w:val="auto"/>
          <w:sz w:val="32"/>
          <w:szCs w:val="32"/>
        </w:rPr>
        <w:t>扩招专业人才培养方案</w:t>
      </w:r>
      <w:bookmarkStart w:id="1" w:name="_GoBack"/>
      <w:bookmarkEnd w:id="1"/>
      <w:r>
        <w:rPr>
          <w:rFonts w:hint="eastAsia" w:asciiTheme="majorEastAsia" w:hAnsiTheme="majorEastAsia" w:eastAsiaTheme="majorEastAsia"/>
          <w:color w:val="auto"/>
          <w:sz w:val="32"/>
          <w:szCs w:val="32"/>
        </w:rPr>
        <w:t>（2019版）</w:t>
      </w:r>
    </w:p>
    <w:p>
      <w:pPr>
        <w:adjustRightInd w:val="0"/>
        <w:snapToGrid w:val="0"/>
        <w:jc w:val="center"/>
        <w:rPr>
          <w:rFonts w:hint="eastAsia"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ascii="黑体" w:hAnsi="黑体" w:eastAsia="黑体"/>
          <w:b/>
          <w:color w:val="auto"/>
          <w:sz w:val="24"/>
          <w:szCs w:val="24"/>
        </w:rPr>
        <w:t>一、专业名称及代码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专业名称：</w:t>
      </w:r>
      <w:r>
        <w:rPr>
          <w:rFonts w:hint="eastAsia" w:asciiTheme="minorEastAsia" w:hAnsiTheme="minorEastAsia"/>
          <w:color w:val="auto"/>
          <w:sz w:val="24"/>
          <w:szCs w:val="24"/>
          <w:lang w:eastAsia="zh-CN"/>
        </w:rPr>
        <w:t>数控技术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专业代码：560103</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本专业学制3 年，可实施弹性学习，最长不超过6年</w:t>
      </w:r>
      <w:r>
        <w:rPr>
          <w:rFonts w:hint="eastAsia" w:asciiTheme="minorEastAsia" w:hAnsiTheme="minorEastAsia"/>
          <w:color w:val="auto"/>
          <w:sz w:val="24"/>
          <w:szCs w:val="24"/>
          <w:lang w:val="en-US" w:eastAsia="zh-CN"/>
        </w:rPr>
        <w:t>,</w:t>
      </w:r>
      <w:r>
        <w:rPr>
          <w:rFonts w:hint="eastAsia" w:asciiTheme="minorEastAsia" w:hAnsiTheme="minorEastAsia"/>
          <w:color w:val="auto"/>
          <w:sz w:val="24"/>
          <w:szCs w:val="24"/>
        </w:rPr>
        <w:t>专科</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对应</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行业</w:t>
            </w:r>
          </w:p>
        </w:tc>
        <w:tc>
          <w:tcPr>
            <w:tcW w:w="1310"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主要职业类别</w:t>
            </w:r>
          </w:p>
        </w:tc>
        <w:tc>
          <w:tcPr>
            <w:tcW w:w="22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（或技术领域）</w:t>
            </w:r>
          </w:p>
        </w:tc>
        <w:tc>
          <w:tcPr>
            <w:tcW w:w="17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cs="Tahoma"/>
                <w:bCs/>
                <w:color w:val="auto"/>
                <w:kern w:val="0"/>
                <w:szCs w:val="21"/>
              </w:rPr>
            </w:pPr>
            <w:r>
              <w:rPr>
                <w:rFonts w:hint="eastAsia" w:cs="Tahoma"/>
                <w:bCs/>
                <w:color w:val="auto"/>
                <w:kern w:val="0"/>
                <w:szCs w:val="21"/>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bCs/>
                <w:color w:val="auto"/>
                <w:kern w:val="0"/>
                <w:szCs w:val="21"/>
              </w:rPr>
            </w:pPr>
            <w:r>
              <w:rPr>
                <w:rFonts w:hint="eastAsia" w:cs="Tahoma"/>
                <w:bCs/>
                <w:color w:val="auto"/>
                <w:kern w:val="0"/>
                <w:sz w:val="21"/>
                <w:szCs w:val="21"/>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hint="eastAsia" w:cs="Tahoma"/>
                <w:bCs/>
                <w:color w:val="auto"/>
                <w:kern w:val="0"/>
                <w:szCs w:val="21"/>
                <w:lang w:eastAsia="zh-CN"/>
              </w:rPr>
            </w:pPr>
            <w:r>
              <w:rPr>
                <w:rFonts w:hint="eastAsia" w:cs="Tahoma"/>
                <w:bCs/>
                <w:color w:val="auto"/>
                <w:kern w:val="0"/>
                <w:szCs w:val="21"/>
                <w:lang w:eastAsia="zh-CN"/>
              </w:rPr>
              <w:t>通用设备制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color w:val="auto"/>
                <w:kern w:val="0"/>
                <w:szCs w:val="21"/>
                <w:lang w:eastAsia="zh-CN"/>
              </w:rPr>
            </w:pPr>
            <w:r>
              <w:rPr>
                <w:rFonts w:hint="eastAsia" w:cs="Tahoma"/>
                <w:bCs/>
                <w:color w:val="auto"/>
                <w:kern w:val="0"/>
                <w:szCs w:val="21"/>
                <w:lang w:eastAsia="zh-CN"/>
              </w:rPr>
              <w:t>造业（34）</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color w:val="auto"/>
                <w:kern w:val="0"/>
                <w:szCs w:val="21"/>
                <w:lang w:eastAsia="zh-CN"/>
              </w:rPr>
            </w:pPr>
            <w:r>
              <w:rPr>
                <w:rFonts w:hint="eastAsia" w:cs="Tahoma"/>
                <w:bCs/>
                <w:color w:val="auto"/>
                <w:kern w:val="0"/>
                <w:szCs w:val="21"/>
                <w:lang w:eastAsia="zh-CN"/>
              </w:rPr>
              <w:t>专业设备制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color w:val="auto"/>
                <w:kern w:val="0"/>
                <w:szCs w:val="21"/>
                <w:lang w:eastAsia="zh-CN"/>
              </w:rPr>
            </w:pPr>
            <w:r>
              <w:rPr>
                <w:rFonts w:hint="eastAsia" w:cs="Tahoma"/>
                <w:bCs/>
                <w:color w:val="auto"/>
                <w:kern w:val="0"/>
                <w:szCs w:val="21"/>
                <w:lang w:eastAsia="zh-CN"/>
              </w:rPr>
              <w:t>造业（35）</w:t>
            </w:r>
          </w:p>
          <w:p>
            <w:pPr>
              <w:keepNext w:val="0"/>
              <w:keepLines w:val="0"/>
              <w:pageBreakBefore w:val="0"/>
              <w:kinsoku/>
              <w:wordWrap/>
              <w:overflowPunct/>
              <w:topLinePunct w:val="0"/>
              <w:autoSpaceDE/>
              <w:autoSpaceDN/>
              <w:bidi w:val="0"/>
              <w:snapToGrid/>
              <w:spacing w:line="360" w:lineRule="auto"/>
              <w:jc w:val="both"/>
              <w:textAlignment w:val="auto"/>
              <w:rPr>
                <w:rFonts w:cs="Tahoma"/>
                <w:bCs/>
                <w:color w:val="auto"/>
                <w:kern w:val="0"/>
                <w:szCs w:val="21"/>
              </w:rPr>
            </w:pPr>
          </w:p>
        </w:tc>
        <w:tc>
          <w:tcPr>
            <w:tcW w:w="1310" w:type="dxa"/>
            <w:vAlign w:val="center"/>
          </w:tcPr>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Cs w:val="21"/>
              </w:rPr>
            </w:pPr>
            <w:r>
              <w:rPr>
                <w:rFonts w:hint="eastAsia" w:cs="Tahoma"/>
                <w:bCs/>
                <w:color w:val="auto"/>
                <w:kern w:val="0"/>
                <w:szCs w:val="21"/>
              </w:rPr>
              <w:t>机械工程技人员（2-02-07）</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机械冷加工员（6-18-01）</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Cs w:val="21"/>
              </w:rPr>
            </w:pPr>
            <w:r>
              <w:rPr>
                <w:rFonts w:hint="eastAsia" w:cs="Tahoma"/>
                <w:bCs/>
                <w:color w:val="auto"/>
                <w:kern w:val="0"/>
                <w:szCs w:val="21"/>
              </w:rPr>
              <w:t>机械设备装配人员（6-05-02）</w:t>
            </w:r>
          </w:p>
        </w:tc>
        <w:tc>
          <w:tcPr>
            <w:tcW w:w="2234"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数控设备操作</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机械加工工艺编制</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与实施</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Cs w:val="21"/>
              </w:rPr>
            </w:pPr>
            <w:r>
              <w:rPr>
                <w:rFonts w:hint="eastAsia" w:cs="Tahoma"/>
                <w:bCs/>
                <w:color w:val="auto"/>
                <w:kern w:val="0"/>
                <w:szCs w:val="21"/>
              </w:rPr>
              <w:t>数控编程、质量检验</w:t>
            </w:r>
          </w:p>
        </w:tc>
        <w:tc>
          <w:tcPr>
            <w:tcW w:w="17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车工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铣工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钳工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维）机械设</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Cs w:val="21"/>
              </w:rPr>
            </w:pPr>
            <w:r>
              <w:rPr>
                <w:rFonts w:hint="eastAsia" w:cs="Tahoma"/>
                <w:bCs/>
                <w:color w:val="auto"/>
                <w:kern w:val="0"/>
                <w:szCs w:val="21"/>
              </w:rPr>
              <w:t>计软件证书</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w:t>
      </w:r>
      <w:r>
        <w:rPr>
          <w:rFonts w:hint="eastAsia" w:asciiTheme="minorEastAsia" w:hAnsiTheme="minorEastAsia"/>
          <w:color w:val="auto"/>
          <w:sz w:val="24"/>
          <w:szCs w:val="24"/>
          <w:lang w:eastAsia="zh-CN"/>
        </w:rPr>
        <w:t>数控编程以及操作</w:t>
      </w:r>
      <w:r>
        <w:rPr>
          <w:rFonts w:hint="eastAsia" w:asciiTheme="minorEastAsia" w:hAnsiTheme="minorEastAsia"/>
          <w:color w:val="auto"/>
          <w:sz w:val="24"/>
          <w:szCs w:val="24"/>
        </w:rPr>
        <w:t>等专业技术技能，具备认知能力、合作能力、创新能力、职业能力等支撑终身发展、适应时代要求的关键能力，具有较强的就业创业能力，面向通用设备制造业、专业设备制造业的机械工程技术人员、机械冷加工人员、机械设备装配人员等职</w:t>
      </w:r>
      <w:r>
        <w:rPr>
          <w:rFonts w:hint="eastAsia" w:asciiTheme="minorEastAsia" w:hAnsiTheme="minorEastAsia"/>
          <w:color w:val="auto"/>
          <w:sz w:val="24"/>
          <w:szCs w:val="24"/>
          <w:lang w:eastAsia="zh-CN"/>
        </w:rPr>
        <w:t>业</w:t>
      </w:r>
      <w:r>
        <w:rPr>
          <w:rFonts w:hint="eastAsia" w:asciiTheme="minorEastAsia" w:hAnsiTheme="minorEastAsia"/>
          <w:color w:val="auto"/>
          <w:sz w:val="24"/>
          <w:szCs w:val="24"/>
        </w:rPr>
        <w:t>领域，能够从事数控设备操作、机械加工工艺编制与实施、数控编程、质量检验等工作的高素质技术技能人才。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1．素质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具有一定的审美和人文素养，能够形成一两项艺术特长或爱好</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2．知识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掌握机械制图知识和公差配合知识；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掌握常用金属材料的性能及应用知识和热加工基础知识；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掌握电工电子技术基础、机械设计基础、液压与气压传动知识；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掌握金属切削刀具、量具和夹具的基本原理知识；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熟悉常用机械加工设备的工作原理及结构等知识；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掌握机械加工工艺编制与实施相关的基础知识；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掌握数控加工手工编程和 CAD/CAM 自动编程的基本知识；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了解数控机床电气控制原理知识；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熟悉数控设备维护保养、故障诊断与维修基本知识；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熟悉机械产品质量检测与控制知识。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3．能力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）具有本专业必需的信息技术应用和维护能力；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）能够识读各类机械零件图和装配图；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）能够进行常用金属材料选用，成型方法和热处理方式选择；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）能够进行普通金属切削机床、刀具、量具和夹具的正确选用和使用；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）具有数控机床操作能力，能够熟练操作多轴数控机床，能够手工编制数控加工程序，能够使用一种常见 CAD/CAM 软件自动编制数控加工程序；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）能够进行典型零件的机械加工工艺编制与实施；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）具有产品质量检测及质量控制的基本能力；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）具有数控设备维护与保养的基本能力；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）能够胜任生产现场的日常管理工作。</w:t>
      </w:r>
    </w:p>
    <w:p>
      <w:pPr>
        <w:keepNext w:val="0"/>
        <w:keepLines w:val="0"/>
        <w:pageBreakBefore w:val="0"/>
        <w:numPr>
          <w:ilvl w:val="0"/>
          <w:numId w:val="0"/>
        </w:numPr>
        <w:kinsoku/>
        <w:wordWrap/>
        <w:overflowPunct/>
        <w:topLinePunct w:val="0"/>
        <w:autoSpaceDE/>
        <w:autoSpaceDN/>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lang w:eastAsia="zh-CN"/>
        </w:rPr>
        <w:t>六、</w:t>
      </w:r>
      <w:r>
        <w:rPr>
          <w:rFonts w:ascii="黑体" w:hAnsi="黑体" w:eastAsia="黑体"/>
          <w:b/>
          <w:color w:val="auto"/>
          <w:sz w:val="24"/>
          <w:szCs w:val="24"/>
        </w:rPr>
        <w:t>课程设置</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color w:val="auto"/>
          <w:sz w:val="24"/>
          <w:szCs w:val="24"/>
          <w:lang w:eastAsia="zh-CN"/>
        </w:rPr>
      </w:pPr>
      <w:r>
        <w:rPr>
          <w:rFonts w:hint="eastAsia" w:asciiTheme="minorEastAsia" w:hAnsiTheme="minorEastAsia"/>
          <w:b/>
          <w:color w:val="auto"/>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eastAsia="zh-CN"/>
        </w:rPr>
        <w:t>本专业课程</w:t>
      </w:r>
      <w:r>
        <w:rPr>
          <w:rFonts w:hint="eastAsia" w:ascii="宋体" w:hAnsi="宋体" w:eastAsia="宋体" w:cs="宋体"/>
          <w:b w:val="0"/>
          <w:bCs/>
          <w:color w:val="auto"/>
          <w:kern w:val="0"/>
          <w:sz w:val="24"/>
          <w:szCs w:val="24"/>
        </w:rPr>
        <w:t>主要包括公共基础课</w:t>
      </w:r>
      <w:r>
        <w:rPr>
          <w:rFonts w:hint="eastAsia" w:ascii="宋体" w:hAnsi="宋体" w:eastAsia="宋体" w:cs="宋体"/>
          <w:b w:val="0"/>
          <w:bCs/>
          <w:color w:val="auto"/>
          <w:kern w:val="0"/>
          <w:sz w:val="24"/>
          <w:szCs w:val="24"/>
          <w:lang w:eastAsia="zh-CN"/>
        </w:rPr>
        <w:t>和</w:t>
      </w:r>
      <w:r>
        <w:rPr>
          <w:rFonts w:hint="eastAsia" w:ascii="宋体" w:hAnsi="宋体" w:eastAsia="宋体" w:cs="宋体"/>
          <w:b w:val="0"/>
          <w:bCs/>
          <w:color w:val="auto"/>
          <w:kern w:val="0"/>
          <w:sz w:val="24"/>
          <w:szCs w:val="24"/>
        </w:rPr>
        <w:t>专业（技能）课。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b/>
          <w:color w:val="auto"/>
          <w:sz w:val="30"/>
          <w:szCs w:val="30"/>
        </w:rPr>
        <w:t xml:space="preserve"> </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0"/>
        <w:rPr>
          <w:rFonts w:hint="eastAsia" w:ascii="宋体" w:hAnsi="宋体" w:eastAsia="宋体" w:cs="宋体"/>
          <w:b w:val="0"/>
          <w:bCs/>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val="0"/>
          <w:bCs/>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tabs>
          <w:tab w:val="left" w:pos="26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本课程用英语介绍涉及数控技术的基本知识，其内容基本覆盖了数控技术中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本课程共分为8个模块，系统介绍数控技术中相关的各个知识点：数控机床简介、自动换刀系统、字地址编程、编程前准备工作、子程序编程、补偿、操作模式、</w:t>
      </w:r>
      <w:r>
        <w:rPr>
          <w:rFonts w:hint="eastAsia" w:ascii="宋体" w:hAnsi="宋体" w:eastAsia="宋体" w:cs="宋体"/>
          <w:bCs/>
          <w:color w:val="auto"/>
          <w:sz w:val="24"/>
          <w:szCs w:val="24"/>
        </w:rPr>
        <w:t>CAD/CAM</w:t>
      </w:r>
      <w:r>
        <w:rPr>
          <w:rFonts w:hint="eastAsia" w:ascii="宋体" w:hAnsi="宋体" w:eastAsia="宋体" w:cs="宋体"/>
          <w:color w:val="auto"/>
          <w:kern w:val="0"/>
          <w:sz w:val="24"/>
          <w:szCs w:val="24"/>
        </w:rPr>
        <w:t>，旨在引导大学生通过学习相关的专业词汇和词组的英文表达，让自己具备一定的阅读专业英语资料和获取专业相关英文信息的语言交际能力，为在国际化工作大背景下查阅和阅读专业相关英文资料奠定基础。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本课程的学习，使学生掌握数控技术常用的英语词汇，积累专业词汇量；使学生学会利用英语工具获取专业所需的信息；培养学生对所学专业中低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课程目标：</w:t>
      </w:r>
      <w:r>
        <w:rPr>
          <w:rFonts w:hint="eastAsia" w:ascii="宋体" w:hAnsi="宋体" w:eastAsia="宋体" w:cs="宋体"/>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auto"/>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教学内容：</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b/>
          <w:color w:val="auto"/>
          <w:sz w:val="30"/>
          <w:szCs w:val="30"/>
        </w:rPr>
      </w:pPr>
      <w:r>
        <w:rPr>
          <w:rStyle w:val="14"/>
          <w:rFonts w:hint="eastAsia" w:ascii="宋体" w:hAnsi="宋体" w:eastAsia="宋体" w:cs="宋体"/>
          <w:color w:val="auto"/>
          <w:sz w:val="24"/>
          <w:szCs w:val="24"/>
        </w:rPr>
        <w:t>教学要求：</w:t>
      </w:r>
      <w:r>
        <w:rPr>
          <w:rFonts w:hint="eastAsia" w:ascii="宋体" w:hAnsi="宋体" w:eastAsia="宋体" w:cs="宋体"/>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专业（技能）课程</w:t>
      </w:r>
    </w:p>
    <w:p>
      <w:pPr>
        <w:pStyle w:val="19"/>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widowControl/>
        <w:numPr>
          <w:ilvl w:val="0"/>
          <w:numId w:val="0"/>
        </w:numPr>
        <w:spacing w:line="360" w:lineRule="auto"/>
        <w:ind w:leftChars="0" w:firstLine="482" w:firstLineChars="200"/>
        <w:jc w:val="left"/>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widowControl/>
        <w:spacing w:line="360" w:lineRule="auto"/>
        <w:jc w:val="left"/>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w:t>
      </w:r>
      <w:r>
        <w:rPr>
          <w:rFonts w:hint="eastAsia" w:ascii="宋体" w:hAnsi="宋体" w:eastAsia="宋体" w:cs="宋体"/>
          <w:color w:val="auto"/>
          <w:sz w:val="24"/>
          <w:szCs w:val="24"/>
        </w:rPr>
        <w:t>使学生掌握常用金属材料的种类、性能及热处理的原理及应用方法，具有合理选择材料及合理安排热处理工序</w:t>
      </w:r>
      <w:r>
        <w:rPr>
          <w:rFonts w:hint="eastAsia" w:ascii="宋体" w:hAnsi="宋体" w:eastAsia="宋体" w:cs="宋体"/>
          <w:color w:val="auto"/>
          <w:sz w:val="24"/>
          <w:szCs w:val="24"/>
        </w:rPr>
        <w:t>的初步能力，通过学习培养学生发现问题、分析问题和解决问题的能力，使学生能将所学知识融会贯通，应用到实践中去，为今后从事生产技术工作奠定必要的基础。</w:t>
      </w:r>
    </w:p>
    <w:p>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w:t>
      </w:r>
      <w:r>
        <w:rPr>
          <w:rFonts w:hint="eastAsia" w:ascii="宋体" w:hAnsi="宋体" w:eastAsia="宋体" w:cs="宋体"/>
          <w:color w:val="auto"/>
          <w:sz w:val="24"/>
          <w:szCs w:val="24"/>
        </w:rPr>
        <w:t>熟</w:t>
      </w:r>
      <w:r>
        <w:rPr>
          <w:rFonts w:hint="eastAsia" w:ascii="宋体" w:hAnsi="宋体" w:eastAsia="宋体" w:cs="宋体"/>
          <w:color w:val="auto"/>
          <w:sz w:val="24"/>
          <w:szCs w:val="24"/>
        </w:rPr>
        <w:t>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19"/>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szCs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w:t>
      </w:r>
      <w:r>
        <w:rPr>
          <w:rFonts w:hint="eastAsia" w:ascii="宋体" w:hAnsi="宋体" w:eastAsia="宋体" w:cs="宋体"/>
          <w:color w:val="auto"/>
          <w:sz w:val="24"/>
          <w:szCs w:val="24"/>
        </w:rPr>
        <w:t>使学生获得电路基础、模拟电路、数字电路方面专业所必需的基本理论</w:t>
      </w:r>
      <w:r>
        <w:rPr>
          <w:rFonts w:hint="eastAsia" w:ascii="宋体" w:hAnsi="宋体" w:eastAsia="宋体" w:cs="宋体"/>
          <w:color w:val="auto"/>
          <w:sz w:val="24"/>
          <w:szCs w:val="24"/>
        </w:rPr>
        <w:t>、</w:t>
      </w:r>
      <w:r>
        <w:rPr>
          <w:rFonts w:hint="eastAsia" w:ascii="宋体" w:hAnsi="宋体" w:eastAsia="宋体" w:cs="宋体"/>
          <w:color w:val="auto"/>
          <w:sz w:val="24"/>
          <w:szCs w:val="24"/>
        </w:rPr>
        <w:t>基本知识和基本技能，</w:t>
      </w:r>
      <w:r>
        <w:rPr>
          <w:rFonts w:hint="eastAsia" w:ascii="宋体" w:hAnsi="宋体" w:eastAsia="宋体" w:cs="宋体"/>
          <w:color w:val="auto"/>
          <w:sz w:val="24"/>
          <w:szCs w:val="24"/>
        </w:rPr>
        <w:t>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widowControl/>
        <w:spacing w:line="36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）数控机床</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掌握数控机床的组成和结构。通过理实一体及项目教学，结合企业案例，重点培养学生</w:t>
      </w:r>
      <w:r>
        <w:rPr>
          <w:rFonts w:hint="eastAsia" w:ascii="宋体" w:hAnsi="宋体" w:eastAsia="宋体" w:cs="宋体"/>
          <w:color w:val="auto"/>
          <w:sz w:val="24"/>
          <w:szCs w:val="24"/>
          <w:lang w:val="en-US" w:eastAsia="zh-CN"/>
        </w:rPr>
        <w:t>分析数控机床组成及各部分的主要功能和特点、工作原理等能力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具有初步分析现场生产问题和进行数控机床调试和维护的能力。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本课程主要讲授数控机床的系统组成及其各部分功能，数控机床的检测装置，伺服驱动系统，插补原理，典型数控系统的构成及其特点，数控机床的机械结构及其各辅助装置，典型的数控机床等。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机床数控方面的基本理论知识，使学生了解和掌握数控机床的基本组成、特点和主要性能指标，典型数控机床的用途和结构特点，步进电机、交直流伺服电机伺服系统工作原理和特点，位置反馈装置，计算机与数控系统通信方式，数控系统插补原理等。为正确操作、合理使用打基础。</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）数控加工编程及操作</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）机械制造技术</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w:t>
      </w:r>
      <w:r>
        <w:rPr>
          <w:rFonts w:hint="eastAsia" w:ascii="宋体" w:hAnsi="宋体" w:eastAsia="宋体" w:cs="宋体"/>
          <w:color w:val="auto"/>
          <w:sz w:val="24"/>
          <w:szCs w:val="24"/>
        </w:rPr>
        <w:t>通</w:t>
      </w:r>
      <w:r>
        <w:rPr>
          <w:rFonts w:hint="eastAsia" w:ascii="宋体" w:hAnsi="宋体" w:eastAsia="宋体" w:cs="宋体"/>
          <w:color w:val="auto"/>
          <w:sz w:val="24"/>
          <w:szCs w:val="24"/>
        </w:rPr>
        <w:t>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widowControl/>
        <w:numPr>
          <w:ilvl w:val="0"/>
          <w:numId w:val="2"/>
        </w:numPr>
        <w:spacing w:line="360" w:lineRule="auto"/>
        <w:jc w:val="both"/>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数控机床电气控制</w:t>
      </w:r>
    </w:p>
    <w:p>
      <w:pPr>
        <w:spacing w:line="360" w:lineRule="auto"/>
        <w:ind w:firstLine="482" w:firstLineChars="200"/>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《数控</w:t>
      </w:r>
      <w:r>
        <w:rPr>
          <w:rFonts w:hint="eastAsia" w:ascii="宋体" w:hAnsi="宋体" w:eastAsia="宋体" w:cs="宋体"/>
          <w:bCs/>
          <w:color w:val="auto"/>
          <w:sz w:val="24"/>
          <w:szCs w:val="24"/>
        </w:rPr>
        <w:t>机床电气控制技术</w:t>
      </w:r>
      <w:r>
        <w:rPr>
          <w:rFonts w:hint="eastAsia" w:ascii="宋体" w:hAnsi="宋体" w:eastAsia="宋体" w:cs="宋体"/>
          <w:color w:val="auto"/>
          <w:sz w:val="24"/>
          <w:szCs w:val="24"/>
        </w:rPr>
        <w:t>》课程是数控专业的一门实践性较强的专业课程。通过本课程的学习，</w:t>
      </w:r>
      <w:r>
        <w:rPr>
          <w:rFonts w:hint="eastAsia" w:ascii="宋体" w:hAnsi="宋体" w:eastAsia="宋体" w:cs="宋体"/>
          <w:color w:val="auto"/>
          <w:sz w:val="24"/>
          <w:szCs w:val="24"/>
        </w:rPr>
        <w:t>培养学生认知机床设备的电气控制技术应用，使学生具有分析问题、解决问题的能力，具备现代电气控制技术方面的信息搜集能力和知识获取的能力。掌握电气控制系统的分析、设计、装调等技能，可学生取得维修电工职业技能资格证书。</w:t>
      </w:r>
    </w:p>
    <w:p>
      <w:pPr>
        <w:widowControl/>
        <w:spacing w:line="400" w:lineRule="exact"/>
        <w:ind w:firstLine="472" w:firstLineChars="196"/>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主要讲授常用机床低压电器、电气控制线路构成、工作原理等基本知识，常用PLC的原理、构成、特点与应用等基本知识，以培养学生具有对典型机床设备的电气控制线路进行设计、分析与故障排除的专业能力以及对PLC控制系统进行设计的综合应用能力。</w:t>
      </w:r>
    </w:p>
    <w:p>
      <w:pPr>
        <w:spacing w:line="360" w:lineRule="auto"/>
        <w:ind w:firstLine="482" w:firstLineChars="200"/>
        <w:rPr>
          <w:rFonts w:hint="eastAsia" w:ascii="宋体" w:hAnsi="宋体" w:eastAsia="宋体" w:cs="宋体"/>
          <w:b/>
          <w:bCs w:val="0"/>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课程教学应坚持以职业岗位技能素养培养为主线、以行业导向、工学结合为主要手段、以职业能力培养为核心，培养学生综合运用电气控制技术的知识能力。</w:t>
      </w:r>
      <w:r>
        <w:rPr>
          <w:rFonts w:hint="eastAsia" w:ascii="宋体" w:hAnsi="宋体" w:eastAsia="宋体" w:cs="宋体"/>
          <w:color w:val="auto"/>
          <w:sz w:val="24"/>
          <w:szCs w:val="24"/>
        </w:rPr>
        <w:t>在教学过程中以讲授、演示为主，配合其他有效的教学模式、教学方法和手段等，将实践操作环节与相课程知识点有机地结合起来，指导学生按照完成各个课程教学。</w:t>
      </w:r>
    </w:p>
    <w:p>
      <w:pPr>
        <w:spacing w:line="360" w:lineRule="auto"/>
        <w:jc w:val="left"/>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lang w:val="en-US" w:eastAsia="zh-CN"/>
        </w:rPr>
        <w:t>11</w:t>
      </w: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lang w:val="en-US" w:eastAsia="zh-CN"/>
        </w:rPr>
        <w:t>液压系统安装及调试</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w:t>
      </w:r>
      <w:r>
        <w:rPr>
          <w:rFonts w:hint="eastAsia" w:ascii="宋体" w:hAnsi="宋体" w:eastAsia="宋体" w:cs="宋体"/>
          <w:color w:val="auto"/>
          <w:sz w:val="24"/>
          <w:szCs w:val="24"/>
        </w:rPr>
        <w:t>和基本计算方法、理解常用液压泵、液压缸、气缸及控制阀的工作原理、特点及应用；学习分析基本液压回路和气动控制回路的方法，读懂液压与气动控制系统回路图。</w:t>
      </w:r>
    </w:p>
    <w:p>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w:t>
      </w:r>
      <w:r>
        <w:rPr>
          <w:rFonts w:hint="eastAsia" w:ascii="宋体" w:hAnsi="宋体" w:eastAsia="宋体" w:cs="宋体"/>
          <w:color w:val="auto"/>
          <w:sz w:val="24"/>
          <w:szCs w:val="24"/>
        </w:rPr>
        <w:t>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widowControl/>
        <w:spacing w:line="360" w:lineRule="auto"/>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eastAsia="zh-CN"/>
        </w:rPr>
        <w:t>机械</w:t>
      </w:r>
      <w:r>
        <w:rPr>
          <w:rFonts w:hint="eastAsia" w:ascii="宋体" w:hAnsi="宋体" w:eastAsia="宋体" w:cs="宋体"/>
          <w:b/>
          <w:bCs/>
          <w:color w:val="auto"/>
          <w:sz w:val="24"/>
          <w:szCs w:val="24"/>
          <w:lang w:val="en-US" w:eastAsia="zh-CN"/>
        </w:rPr>
        <w:t>CAD/CAM</w:t>
      </w:r>
    </w:p>
    <w:p>
      <w:pPr>
        <w:numPr>
          <w:ilvl w:val="0"/>
          <w:numId w:val="0"/>
        </w:numPr>
        <w:spacing w:line="360" w:lineRule="auto"/>
        <w:ind w:firstLine="482" w:firstLineChars="200"/>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岗位上所必需的相关知识、技术标准、工作规范等。掌握</w:t>
      </w:r>
      <w:r>
        <w:rPr>
          <w:rFonts w:hint="eastAsia" w:ascii="宋体" w:hAnsi="宋体" w:eastAsia="宋体" w:cs="宋体"/>
          <w:color w:val="auto"/>
          <w:sz w:val="24"/>
          <w:szCs w:val="24"/>
          <w:lang w:eastAsia="zh-CN"/>
        </w:rPr>
        <w:t>机械零件设计和自动编程</w:t>
      </w:r>
      <w:r>
        <w:rPr>
          <w:rFonts w:hint="eastAsia" w:ascii="宋体" w:hAnsi="宋体" w:eastAsia="宋体" w:cs="宋体"/>
          <w:color w:val="auto"/>
          <w:sz w:val="24"/>
          <w:szCs w:val="24"/>
        </w:rPr>
        <w:t>等技能，取得</w:t>
      </w:r>
      <w:r>
        <w:rPr>
          <w:rFonts w:hint="eastAsia" w:ascii="宋体" w:hAnsi="宋体" w:eastAsia="宋体" w:cs="宋体"/>
          <w:color w:val="auto"/>
          <w:sz w:val="24"/>
          <w:szCs w:val="24"/>
          <w:lang w:val="en-US" w:eastAsia="zh-CN"/>
        </w:rPr>
        <w:t>UG</w:t>
      </w:r>
      <w:r>
        <w:rPr>
          <w:rFonts w:hint="eastAsia" w:ascii="宋体" w:hAnsi="宋体" w:eastAsia="宋体" w:cs="宋体"/>
          <w:color w:val="auto"/>
          <w:sz w:val="24"/>
          <w:szCs w:val="24"/>
          <w:lang w:eastAsia="zh-CN"/>
        </w:rPr>
        <w:t>三维设计软件</w:t>
      </w:r>
      <w:r>
        <w:rPr>
          <w:rFonts w:hint="eastAsia" w:ascii="宋体" w:hAnsi="宋体" w:eastAsia="宋体" w:cs="宋体"/>
          <w:color w:val="auto"/>
          <w:sz w:val="24"/>
          <w:szCs w:val="24"/>
        </w:rPr>
        <w:t>证书。</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本课程通过对理论课程的学习，使学生熟悉</w:t>
      </w:r>
      <w:r>
        <w:rPr>
          <w:rFonts w:hint="eastAsia" w:ascii="宋体" w:hAnsi="宋体" w:eastAsia="宋体" w:cs="宋体"/>
          <w:color w:val="auto"/>
          <w:sz w:val="24"/>
          <w:szCs w:val="24"/>
          <w:lang w:eastAsia="zh-CN"/>
        </w:rPr>
        <w:t>三维建模</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机械零件装配、工程图和自动编程</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机械零件三维设计和数控自动编程等的</w:t>
      </w:r>
      <w:r>
        <w:rPr>
          <w:rFonts w:hint="eastAsia" w:ascii="宋体" w:hAnsi="宋体" w:eastAsia="宋体" w:cs="宋体"/>
          <w:color w:val="auto"/>
          <w:sz w:val="24"/>
          <w:szCs w:val="24"/>
        </w:rPr>
        <w:t>方法；通过</w:t>
      </w:r>
      <w:r>
        <w:rPr>
          <w:rFonts w:hint="eastAsia" w:ascii="宋体" w:hAnsi="宋体" w:eastAsia="宋体" w:cs="宋体"/>
          <w:color w:val="auto"/>
          <w:sz w:val="24"/>
          <w:szCs w:val="24"/>
          <w:lang w:eastAsia="zh-CN"/>
        </w:rPr>
        <w:t>上机</w:t>
      </w:r>
      <w:r>
        <w:rPr>
          <w:rFonts w:hint="eastAsia" w:ascii="宋体" w:hAnsi="宋体" w:eastAsia="宋体" w:cs="宋体"/>
          <w:color w:val="auto"/>
          <w:sz w:val="24"/>
          <w:szCs w:val="24"/>
        </w:rPr>
        <w:t>实践训练，使学生具备</w:t>
      </w:r>
      <w:r>
        <w:rPr>
          <w:rFonts w:hint="eastAsia" w:ascii="宋体" w:hAnsi="宋体" w:eastAsia="宋体" w:cs="宋体"/>
          <w:color w:val="auto"/>
          <w:sz w:val="24"/>
          <w:szCs w:val="24"/>
          <w:lang w:val="en-US" w:eastAsia="zh-CN"/>
        </w:rPr>
        <w:t>UG软件的操作</w:t>
      </w:r>
      <w:r>
        <w:rPr>
          <w:rFonts w:hint="eastAsia" w:ascii="宋体" w:hAnsi="宋体" w:eastAsia="宋体" w:cs="宋体"/>
          <w:color w:val="auto"/>
          <w:sz w:val="24"/>
          <w:szCs w:val="24"/>
        </w:rPr>
        <w:t>技能。</w:t>
      </w:r>
    </w:p>
    <w:p>
      <w:pPr>
        <w:widowControl/>
        <w:spacing w:line="360" w:lineRule="auto"/>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eastAsia="zh-CN"/>
        </w:rPr>
        <w:t>数控加工工艺</w:t>
      </w:r>
    </w:p>
    <w:p>
      <w:pPr>
        <w:widowControl/>
        <w:spacing w:line="360" w:lineRule="auto"/>
        <w:ind w:firstLine="482" w:firstLineChars="200"/>
        <w:jc w:val="left"/>
        <w:rPr>
          <w:rFonts w:hint="eastAsia" w:ascii="宋体" w:hAnsi="宋体" w:eastAsia="宋体" w:cs="宋体"/>
          <w:color w:val="auto"/>
          <w:sz w:val="24"/>
          <w:szCs w:val="24"/>
          <w:lang w:val="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本课程主要培养学生</w:t>
      </w:r>
      <w:r>
        <w:rPr>
          <w:rFonts w:hint="eastAsia" w:ascii="宋体" w:hAnsi="宋体" w:eastAsia="宋体" w:cs="宋体"/>
          <w:color w:val="auto"/>
          <w:sz w:val="24"/>
          <w:szCs w:val="24"/>
          <w:lang w:val="en-US" w:eastAsia="zh-CN"/>
        </w:rPr>
        <w:t>的数控加工工艺的分析，数控工艺方案的拟定，工艺文件的制作等方面的能力</w:t>
      </w:r>
      <w:r>
        <w:rPr>
          <w:rFonts w:hint="eastAsia" w:ascii="宋体" w:hAnsi="宋体" w:eastAsia="宋体" w:cs="宋体"/>
          <w:color w:val="auto"/>
          <w:sz w:val="24"/>
          <w:szCs w:val="24"/>
        </w:rPr>
        <w:t>；初步具有制订典型零件的数控机床加工工艺和分析一般工艺问题的能力。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讲授讲授数控机床加工工艺的基础知识和基本理论。其中包括数控加工的切削基础，数控加工工艺的特点，工件在数控机床上的装夹与定位方法，数控机床刀具的材料、种类、特点及其刀具选择原则。数控加工工艺基础、数控车削加工工艺分析、数控铣削加工工艺分析、加工中心的工艺分析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通过理实一体及项目教学，结合企业案例，</w:t>
      </w:r>
      <w:r>
        <w:rPr>
          <w:rFonts w:hint="eastAsia" w:ascii="宋体" w:hAnsi="宋体" w:eastAsia="宋体" w:cs="宋体"/>
          <w:color w:val="auto"/>
          <w:sz w:val="24"/>
          <w:szCs w:val="24"/>
        </w:rPr>
        <w:t>使学生获得数控加工中金属切削及加工工艺的基本知识和基本原理；学会选择机床、刀具、夹具及零件表面的加工方法知识，掌握数控加工工艺设计的基本方法</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lang w:val="en-US" w:eastAsia="zh-CN"/>
        </w:rPr>
        <w:t>控工艺方案的拟定。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14</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数控机床故障诊断与维护</w:t>
      </w:r>
      <w:r>
        <w:rPr>
          <w:rFonts w:hint="eastAsia" w:ascii="宋体" w:hAnsi="宋体" w:eastAsia="宋体" w:cs="宋体"/>
          <w:color w:val="auto"/>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应该具有数控机床故障诊断与维护、维修一定的认知能力，具有一定发现问题、分析问题、归纳问题、解决问题能力和逻辑思维能力，具有一定的信息搜集能力和知识获取的能力；学生具备在数控装调工、数控机床维护和数控维修工岗位上所必需的数控维修相关知识、技术标准、规范等和数控机床调试、维护与维修的职业素养和职业技术等技术技能。养成的爱岗敬业、诚实守信的品德，团队协作、安全生产的意识，以及节约资源、保护环境的良好习惯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lang w:eastAsia="zh-CN"/>
        </w:rPr>
        <w:t>本课程主要讲解</w:t>
      </w:r>
      <w:r>
        <w:rPr>
          <w:rFonts w:hint="eastAsia" w:ascii="宋体" w:hAnsi="宋体" w:eastAsia="宋体" w:cs="宋体"/>
          <w:color w:val="auto"/>
          <w:sz w:val="24"/>
          <w:szCs w:val="24"/>
        </w:rPr>
        <w:t>数控机床常用电气元件认知及检测；硬件接口连接；参数设定；PMC控制与应用；数据的传输与备份；及CNC系统、伺服系统、主轴系统、系统与IO模块和数控机床机械故障诊断与维修</w:t>
      </w:r>
      <w:r>
        <w:rPr>
          <w:rFonts w:hint="eastAsia" w:ascii="宋体" w:hAnsi="宋体" w:eastAsia="宋体" w:cs="宋体"/>
          <w:color w:val="auto"/>
          <w:sz w:val="24"/>
          <w:szCs w:val="24"/>
          <w:lang w:eastAsia="zh-CN"/>
        </w:rPr>
        <w:t>等内容。</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本课程主要讲授数控机床故障诊断与维修，使学生掌握数控机床故障诊断与维护、维修的基本知识和方法。通过理实一体及项目教学，结合企业案例，重点培养学生数控机床调试、维护与维修的职业素养和职业技术能力，提高学生的就业竞争能力。</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钳工实训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主要内容：</w:t>
      </w:r>
      <w:r>
        <w:rPr>
          <w:rFonts w:hint="eastAsia" w:ascii="宋体" w:hAnsi="宋体" w:eastAsia="宋体" w:cs="宋体"/>
          <w:color w:val="auto"/>
          <w:sz w:val="24"/>
          <w:szCs w:val="24"/>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16</w:t>
      </w:r>
      <w:r>
        <w:rPr>
          <w:rFonts w:hint="eastAsia" w:ascii="宋体" w:hAnsi="宋体" w:eastAsia="宋体" w:cs="宋体"/>
          <w:b/>
          <w:bCs/>
          <w:color w:val="auto"/>
          <w:sz w:val="24"/>
          <w:szCs w:val="24"/>
          <w:lang w:eastAsia="zh-CN"/>
        </w:rPr>
        <w:t>）电焊</w:t>
      </w:r>
      <w:r>
        <w:rPr>
          <w:rFonts w:hint="eastAsia" w:ascii="宋体" w:hAnsi="宋体" w:eastAsia="宋体" w:cs="宋体"/>
          <w:b/>
          <w:bCs/>
          <w:color w:val="auto"/>
          <w:sz w:val="24"/>
          <w:szCs w:val="24"/>
        </w:rPr>
        <w:t>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w:t>
      </w:r>
      <w:r>
        <w:rPr>
          <w:rFonts w:hint="eastAsia" w:ascii="宋体" w:hAnsi="宋体" w:eastAsia="宋体" w:cs="宋体"/>
          <w:color w:val="auto"/>
          <w:sz w:val="24"/>
          <w:szCs w:val="24"/>
          <w:lang w:eastAsia="zh-CN"/>
        </w:rPr>
        <w:t>电焊</w:t>
      </w:r>
      <w:r>
        <w:rPr>
          <w:rFonts w:hint="eastAsia" w:ascii="宋体" w:hAnsi="宋体" w:eastAsia="宋体" w:cs="宋体"/>
          <w:color w:val="auto"/>
          <w:sz w:val="24"/>
          <w:szCs w:val="24"/>
        </w:rPr>
        <w:t>实训，要求了解</w:t>
      </w:r>
      <w:r>
        <w:rPr>
          <w:rFonts w:hint="eastAsia" w:ascii="宋体" w:hAnsi="宋体" w:eastAsia="宋体" w:cs="宋体"/>
          <w:color w:val="auto"/>
          <w:sz w:val="24"/>
          <w:szCs w:val="24"/>
          <w:lang w:eastAsia="zh-CN"/>
        </w:rPr>
        <w:t>焊接</w:t>
      </w:r>
      <w:r>
        <w:rPr>
          <w:rFonts w:hint="eastAsia" w:ascii="宋体" w:hAnsi="宋体" w:eastAsia="宋体" w:cs="宋体"/>
          <w:color w:val="auto"/>
          <w:sz w:val="24"/>
          <w:szCs w:val="24"/>
        </w:rPr>
        <w:t>的基本知识，使学生了解</w:t>
      </w:r>
      <w:r>
        <w:rPr>
          <w:rFonts w:hint="eastAsia" w:ascii="宋体" w:hAnsi="宋体" w:eastAsia="宋体" w:cs="宋体"/>
          <w:color w:val="auto"/>
          <w:sz w:val="24"/>
          <w:szCs w:val="24"/>
          <w:lang w:eastAsia="zh-CN"/>
        </w:rPr>
        <w:t>焊接</w:t>
      </w:r>
      <w:r>
        <w:rPr>
          <w:rFonts w:hint="eastAsia" w:ascii="宋体" w:hAnsi="宋体" w:eastAsia="宋体" w:cs="宋体"/>
          <w:color w:val="auto"/>
          <w:sz w:val="24"/>
          <w:szCs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主要内容：</w:t>
      </w:r>
      <w:r>
        <w:rPr>
          <w:rFonts w:hint="eastAsia" w:ascii="宋体" w:hAnsi="宋体" w:eastAsia="宋体" w:cs="宋体"/>
          <w:color w:val="auto"/>
          <w:sz w:val="24"/>
          <w:szCs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17</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通过该课程的学习，了解和掌握机械加工的相关知识，熟练使用车床，通过训练能独立完成基本课题并熟练加工常用零件，达到国家《车工职业标准》中车工中级工的水平。</w:t>
      </w:r>
    </w:p>
    <w:p>
      <w:pPr>
        <w:spacing w:line="360" w:lineRule="auto"/>
        <w:ind w:firstLine="480"/>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并获得</w:t>
      </w:r>
      <w:r>
        <w:rPr>
          <w:rFonts w:hint="eastAsia" w:ascii="宋体" w:hAnsi="宋体" w:eastAsia="宋体" w:cs="宋体"/>
          <w:color w:val="auto"/>
          <w:sz w:val="24"/>
          <w:szCs w:val="24"/>
          <w:lang w:eastAsia="zh-CN"/>
        </w:rPr>
        <w:t>车工</w:t>
      </w:r>
      <w:r>
        <w:rPr>
          <w:rFonts w:hint="eastAsia" w:ascii="宋体" w:hAnsi="宋体" w:eastAsia="宋体" w:cs="宋体"/>
          <w:color w:val="auto"/>
          <w:sz w:val="24"/>
          <w:szCs w:val="24"/>
        </w:rPr>
        <w:t>中级技术等级考证</w:t>
      </w:r>
      <w:r>
        <w:rPr>
          <w:rFonts w:hint="eastAsia" w:ascii="宋体" w:hAnsi="宋体" w:eastAsia="宋体" w:cs="宋体"/>
          <w:color w:val="auto"/>
          <w:sz w:val="24"/>
          <w:szCs w:val="24"/>
          <w:lang w:eastAsia="zh-CN"/>
        </w:rPr>
        <w:t>。</w:t>
      </w:r>
    </w:p>
    <w:p>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教学要求：</w:t>
      </w:r>
      <w:r>
        <w:rPr>
          <w:rFonts w:hint="eastAsia" w:ascii="宋体" w:hAnsi="宋体" w:eastAsia="宋体" w:cs="宋体"/>
          <w:color w:val="auto"/>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18</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数控加工实训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通过该课程的学习，培养学生对机械设计与制造专业数控机床编程和操作具有一定的认知能力，具有一定发现问题、分析问题、解决问题的能力，具有数控</w:t>
      </w:r>
      <w:r>
        <w:rPr>
          <w:rFonts w:hint="eastAsia" w:ascii="宋体" w:hAnsi="宋体" w:eastAsia="宋体" w:cs="宋体"/>
          <w:color w:val="auto"/>
          <w:sz w:val="24"/>
          <w:szCs w:val="24"/>
          <w:lang w:eastAsia="zh-CN"/>
        </w:rPr>
        <w:t>和线切割</w:t>
      </w:r>
      <w:r>
        <w:rPr>
          <w:rFonts w:hint="eastAsia" w:ascii="宋体" w:hAnsi="宋体" w:eastAsia="宋体" w:cs="宋体"/>
          <w:color w:val="auto"/>
          <w:sz w:val="24"/>
          <w:szCs w:val="24"/>
        </w:rPr>
        <w:t>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数控机床安全要求；数控车床的基本操作、单一固定循环加工；车削螺纹加工；数控铣床的基本操作；直槽、圆弧槽的加工；内、外轮廓的编程加工；孔系的编程加工；简单三维曲面的加</w:t>
      </w:r>
      <w:r>
        <w:rPr>
          <w:rFonts w:hint="eastAsia" w:ascii="宋体" w:hAnsi="宋体" w:eastAsia="宋体" w:cs="宋体"/>
          <w:color w:val="auto"/>
          <w:sz w:val="24"/>
          <w:szCs w:val="24"/>
          <w:lang w:eastAsia="zh-CN"/>
        </w:rPr>
        <w:t>工；线切割加工实训</w:t>
      </w:r>
      <w:r>
        <w:rPr>
          <w:rFonts w:hint="eastAsia" w:ascii="宋体" w:hAnsi="宋体" w:eastAsia="宋体" w:cs="宋体"/>
          <w:color w:val="auto"/>
          <w:sz w:val="24"/>
          <w:szCs w:val="24"/>
        </w:rPr>
        <w:t>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通过该实训课程的学习，培养学生具备数控设备操作职业、岗位或工种的实际工作能力；具备在数控设备操作工作岗位上所必需的相关知识、技术标准、工作规范等。掌握数控设备的操作、数控编程等技能。</w:t>
      </w:r>
    </w:p>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19</w:t>
      </w:r>
      <w:r>
        <w:rPr>
          <w:rFonts w:hint="eastAsia" w:ascii="宋体" w:hAnsi="宋体" w:eastAsia="宋体" w:cs="宋体"/>
          <w:b/>
          <w:color w:val="auto"/>
          <w:sz w:val="24"/>
          <w:szCs w:val="24"/>
          <w:lang w:eastAsia="zh-CN"/>
        </w:rPr>
        <w:t>）专业</w:t>
      </w:r>
      <w:r>
        <w:rPr>
          <w:rFonts w:hint="eastAsia" w:ascii="宋体" w:hAnsi="宋体" w:eastAsia="宋体" w:cs="宋体"/>
          <w:b/>
          <w:color w:val="auto"/>
          <w:sz w:val="24"/>
          <w:szCs w:val="24"/>
        </w:rPr>
        <w:t>综合技能训练</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校内综合技能训练是</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专业的一门</w:t>
      </w:r>
      <w:r>
        <w:rPr>
          <w:rFonts w:hint="eastAsia" w:ascii="宋体" w:hAnsi="宋体" w:eastAsia="宋体" w:cs="宋体"/>
          <w:color w:val="auto"/>
          <w:sz w:val="24"/>
          <w:szCs w:val="24"/>
          <w:lang w:eastAsia="zh-CN"/>
        </w:rPr>
        <w:t>专业</w:t>
      </w:r>
      <w:r>
        <w:rPr>
          <w:rFonts w:hint="eastAsia" w:ascii="宋体" w:hAnsi="宋体" w:eastAsia="宋体" w:cs="宋体"/>
          <w:color w:val="auto"/>
          <w:sz w:val="24"/>
          <w:szCs w:val="24"/>
        </w:rPr>
        <w:t>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旨</w:t>
      </w:r>
      <w:r>
        <w:rPr>
          <w:rFonts w:hint="eastAsia" w:ascii="宋体" w:hAnsi="宋体" w:eastAsia="宋体" w:cs="宋体"/>
          <w:color w:val="auto"/>
          <w:sz w:val="24"/>
          <w:szCs w:val="24"/>
          <w:lang w:eastAsia="zh-CN"/>
        </w:rPr>
        <w:t>在建立</w:t>
      </w:r>
      <w:r>
        <w:rPr>
          <w:rFonts w:hint="eastAsia" w:ascii="宋体" w:hAnsi="宋体" w:eastAsia="宋体" w:cs="宋体"/>
          <w:color w:val="auto"/>
          <w:sz w:val="24"/>
          <w:szCs w:val="24"/>
        </w:rPr>
        <w:t>校内综合技能训练的平台，为学生就业作准备。通过该课程的学习，培养学生具备</w:t>
      </w:r>
      <w:r>
        <w:rPr>
          <w:rFonts w:hint="eastAsia" w:ascii="宋体" w:hAnsi="宋体" w:eastAsia="宋体" w:cs="宋体"/>
          <w:color w:val="auto"/>
          <w:sz w:val="24"/>
          <w:szCs w:val="24"/>
          <w:lang w:eastAsia="zh-CN"/>
        </w:rPr>
        <w:t>数控机床操作</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数控机床</w:t>
      </w:r>
      <w:r>
        <w:rPr>
          <w:rFonts w:hint="eastAsia" w:ascii="宋体" w:hAnsi="宋体" w:eastAsia="宋体" w:cs="宋体"/>
          <w:color w:val="auto"/>
          <w:sz w:val="24"/>
          <w:szCs w:val="24"/>
        </w:rPr>
        <w:t>工作岗位上所必需的相关知识、技术标准、工作规范等。掌握</w:t>
      </w:r>
      <w:r>
        <w:rPr>
          <w:rFonts w:hint="eastAsia" w:ascii="宋体" w:hAnsi="宋体" w:eastAsia="宋体" w:cs="宋体"/>
          <w:color w:val="auto"/>
          <w:sz w:val="24"/>
          <w:szCs w:val="24"/>
          <w:lang w:eastAsia="zh-CN"/>
        </w:rPr>
        <w:t>数控操作</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数控编程、工艺设计和三维设计软件使用</w:t>
      </w:r>
      <w:r>
        <w:rPr>
          <w:rFonts w:hint="eastAsia" w:ascii="宋体" w:hAnsi="宋体" w:eastAsia="宋体" w:cs="宋体"/>
          <w:color w:val="auto"/>
          <w:sz w:val="24"/>
          <w:szCs w:val="24"/>
        </w:rPr>
        <w:t>等技能。</w:t>
      </w:r>
      <w:r>
        <w:rPr>
          <w:rFonts w:hint="eastAsia" w:ascii="宋体" w:hAnsi="宋体" w:eastAsia="宋体" w:cs="宋体"/>
          <w:color w:val="auto"/>
          <w:sz w:val="24"/>
          <w:szCs w:val="24"/>
          <w:lang w:eastAsia="zh-CN"/>
        </w:rPr>
        <w:t>同时培养学生爱岗敬业、诚实守信、团队协作的良好职业道德和敬业精神。</w:t>
      </w:r>
    </w:p>
    <w:p>
      <w:pPr>
        <w:widowControl/>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本课程共分为三个训练模块。数控综合加工实训一：主要包括数控宏程序的编制、</w:t>
      </w:r>
      <w:r>
        <w:rPr>
          <w:rFonts w:hint="eastAsia" w:ascii="宋体" w:hAnsi="宋体" w:eastAsia="宋体" w:cs="宋体"/>
          <w:color w:val="auto"/>
          <w:sz w:val="24"/>
          <w:szCs w:val="24"/>
          <w:lang w:val="en-US" w:eastAsia="zh-CN"/>
        </w:rPr>
        <w:t>CAD/CAM自动编程和机床加工等内容</w:t>
      </w:r>
      <w:r>
        <w:rPr>
          <w:rFonts w:hint="eastAsia" w:ascii="宋体" w:hAnsi="宋体" w:eastAsia="宋体" w:cs="宋体"/>
          <w:color w:val="auto"/>
          <w:sz w:val="24"/>
          <w:szCs w:val="24"/>
          <w:lang w:eastAsia="zh-CN"/>
        </w:rPr>
        <w:t>；数控加工工艺课程设计二：典型机械零件的工艺设计；自动编程实训三：主要包括利用</w:t>
      </w:r>
      <w:r>
        <w:rPr>
          <w:rFonts w:hint="eastAsia" w:ascii="宋体" w:hAnsi="宋体" w:eastAsia="宋体" w:cs="宋体"/>
          <w:color w:val="auto"/>
          <w:sz w:val="24"/>
          <w:szCs w:val="24"/>
          <w:lang w:val="en-US" w:eastAsia="zh-CN"/>
        </w:rPr>
        <w:t>UG建模、自动编程和典型案例加工</w:t>
      </w:r>
      <w:r>
        <w:rPr>
          <w:rFonts w:hint="eastAsia" w:ascii="宋体" w:hAnsi="宋体" w:eastAsia="宋体" w:cs="宋体"/>
          <w:color w:val="auto"/>
          <w:sz w:val="24"/>
          <w:szCs w:val="24"/>
          <w:lang w:eastAsia="zh-CN"/>
        </w:rPr>
        <w:t>实践内容，</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w:t>
      </w:r>
      <w:r>
        <w:rPr>
          <w:rFonts w:hint="eastAsia" w:ascii="宋体" w:hAnsi="宋体" w:eastAsia="宋体" w:cs="宋体"/>
          <w:color w:val="auto"/>
          <w:sz w:val="24"/>
          <w:szCs w:val="24"/>
          <w:lang w:eastAsia="zh-CN"/>
        </w:rPr>
        <w:t>该</w:t>
      </w:r>
      <w:r>
        <w:rPr>
          <w:rFonts w:hint="eastAsia" w:ascii="宋体" w:hAnsi="宋体" w:eastAsia="宋体" w:cs="宋体"/>
          <w:color w:val="auto"/>
          <w:sz w:val="24"/>
          <w:szCs w:val="24"/>
        </w:rPr>
        <w:t>课程的学习，使学生熟悉</w:t>
      </w:r>
      <w:r>
        <w:rPr>
          <w:rFonts w:hint="eastAsia" w:ascii="宋体" w:hAnsi="宋体" w:eastAsia="宋体" w:cs="宋体"/>
          <w:color w:val="auto"/>
          <w:sz w:val="24"/>
          <w:szCs w:val="24"/>
          <w:lang w:eastAsia="zh-CN"/>
        </w:rPr>
        <w:t>数控操作</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数控编程、三维设计软件使用、工艺设计</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内容，进一步拓展</w:t>
      </w:r>
      <w:r>
        <w:rPr>
          <w:rFonts w:hint="eastAsia" w:ascii="宋体" w:hAnsi="宋体" w:eastAsia="宋体" w:cs="宋体"/>
          <w:color w:val="auto"/>
          <w:sz w:val="24"/>
          <w:szCs w:val="24"/>
          <w:lang w:eastAsia="zh-CN"/>
        </w:rPr>
        <w:t>数控加工、编程以及工艺等</w:t>
      </w:r>
      <w:r>
        <w:rPr>
          <w:rFonts w:hint="eastAsia" w:ascii="宋体" w:hAnsi="宋体" w:eastAsia="宋体" w:cs="宋体"/>
          <w:color w:val="auto"/>
          <w:sz w:val="24"/>
          <w:szCs w:val="24"/>
        </w:rPr>
        <w:t>专项技能水平</w:t>
      </w:r>
      <w:r>
        <w:rPr>
          <w:rFonts w:hint="eastAsia" w:ascii="宋体" w:hAnsi="宋体" w:eastAsia="宋体" w:cs="宋体"/>
          <w:color w:val="auto"/>
          <w:sz w:val="24"/>
          <w:szCs w:val="24"/>
          <w:lang w:eastAsia="zh-CN"/>
        </w:rPr>
        <w:t>。教学过程中，可灵活采取案例、云课堂等辅助教学，鼓励学生积极动手、勤于思考，充分发挥学生的主观能动性，培养学生的自信心和严谨的工作精神。</w:t>
      </w:r>
    </w:p>
    <w:p>
      <w:pPr>
        <w:spacing w:line="360" w:lineRule="auto"/>
        <w:jc w:val="left"/>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20</w:t>
      </w:r>
      <w:r>
        <w:rPr>
          <w:rFonts w:hint="eastAsia" w:ascii="宋体" w:hAnsi="宋体" w:eastAsia="宋体" w:cs="宋体"/>
          <w:b/>
          <w:color w:val="auto"/>
          <w:sz w:val="24"/>
          <w:szCs w:val="24"/>
          <w:lang w:eastAsia="zh-CN"/>
        </w:rPr>
        <w:t>）顶岗实习</w:t>
      </w:r>
    </w:p>
    <w:p>
      <w:pPr>
        <w:widowControl/>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widowControl/>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b/>
          <w:color w:val="auto"/>
          <w:sz w:val="24"/>
          <w:szCs w:val="24"/>
        </w:rPr>
      </w:pPr>
      <w:r>
        <w:rPr>
          <w:rFonts w:hint="eastAsia" w:asciiTheme="minorEastAsia" w:hAnsiTheme="minorEastAsia"/>
          <w:b/>
          <w:color w:val="auto"/>
          <w:sz w:val="24"/>
          <w:szCs w:val="24"/>
        </w:rPr>
        <w:t>专业相关的实践能力要求</w:t>
      </w:r>
    </w:p>
    <w:tbl>
      <w:tblPr>
        <w:tblStyle w:val="11"/>
        <w:tblW w:w="9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3105"/>
        <w:gridCol w:w="3735"/>
        <w:gridCol w:w="1020"/>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944"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3105" w:type="dxa"/>
            <w:vAlign w:val="center"/>
          </w:tcPr>
          <w:p>
            <w:pPr>
              <w:ind w:left="560"/>
              <w:jc w:val="center"/>
              <w:rPr>
                <w:rFonts w:hint="eastAsia" w:ascii="宋体" w:hAnsi="宋体" w:eastAsia="宋体" w:cs="宋体"/>
                <w:color w:val="auto"/>
                <w:sz w:val="24"/>
                <w:szCs w:val="24"/>
              </w:rPr>
            </w:pPr>
            <w:r>
              <w:rPr>
                <w:rFonts w:hint="eastAsia" w:ascii="宋体" w:hAnsi="宋体" w:eastAsia="宋体" w:cs="宋体"/>
                <w:color w:val="auto"/>
                <w:sz w:val="24"/>
                <w:szCs w:val="24"/>
              </w:rPr>
              <w:t>证书名称</w:t>
            </w:r>
          </w:p>
        </w:tc>
        <w:tc>
          <w:tcPr>
            <w:tcW w:w="3735"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颁证单位</w:t>
            </w:r>
          </w:p>
        </w:tc>
        <w:tc>
          <w:tcPr>
            <w:tcW w:w="1020"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1184"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3105" w:type="dxa"/>
            <w:vAlign w:val="center"/>
          </w:tcPr>
          <w:p>
            <w:pPr>
              <w:jc w:val="both"/>
              <w:rPr>
                <w:rFonts w:hint="eastAsia" w:ascii="宋体" w:hAnsi="宋体" w:eastAsia="宋体" w:cs="宋体"/>
                <w:color w:val="auto"/>
                <w:sz w:val="24"/>
                <w:szCs w:val="24"/>
              </w:rPr>
            </w:pPr>
            <w:r>
              <w:rPr>
                <w:rFonts w:hint="eastAsia" w:ascii="宋体" w:hAnsi="宋体" w:eastAsia="宋体" w:cs="宋体"/>
                <w:color w:val="auto"/>
                <w:sz w:val="24"/>
                <w:szCs w:val="24"/>
              </w:rPr>
              <w:t>普通车床操作工</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3105" w:type="dxa"/>
            <w:vAlign w:val="center"/>
          </w:tcPr>
          <w:p>
            <w:p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钳工</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tabs>
                <w:tab w:val="left" w:pos="596"/>
              </w:tabs>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3105"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焊工</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3105"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三维</w:t>
            </w:r>
            <w:r>
              <w:rPr>
                <w:rFonts w:hint="eastAsia" w:ascii="宋体" w:hAnsi="宋体" w:eastAsia="宋体" w:cs="宋体"/>
                <w:color w:val="auto"/>
                <w:sz w:val="24"/>
                <w:szCs w:val="24"/>
                <w:lang w:val="en-US" w:eastAsia="zh-CN"/>
              </w:rPr>
              <w:t>CAD绘图</w:t>
            </w:r>
            <w:r>
              <w:rPr>
                <w:rFonts w:hint="eastAsia" w:ascii="宋体" w:hAnsi="宋体" w:eastAsia="宋体" w:cs="宋体"/>
                <w:color w:val="auto"/>
                <w:sz w:val="24"/>
                <w:szCs w:val="24"/>
                <w:lang w:eastAsia="zh-CN"/>
              </w:rPr>
              <w:t>专项职业能力</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3105"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数控铣计算机辅助编程专项职业能力</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3105"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UG三维应用工程师</w:t>
            </w:r>
          </w:p>
        </w:tc>
        <w:tc>
          <w:tcPr>
            <w:tcW w:w="3735"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3105"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AutoCAD绘图员</w:t>
            </w:r>
          </w:p>
        </w:tc>
        <w:tc>
          <w:tcPr>
            <w:tcW w:w="3735"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ascii="黑体" w:hAnsi="黑体" w:eastAsia="黑体"/>
          <w:b/>
          <w:color w:val="auto"/>
          <w:sz w:val="24"/>
          <w:szCs w:val="24"/>
        </w:rPr>
      </w:pPr>
      <w:r>
        <w:rPr>
          <w:rFonts w:hint="eastAsia" w:ascii="宋体" w:hAnsi="宋体"/>
          <w:b/>
          <w:bCs/>
          <w:color w:val="auto"/>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auto"/>
          <w:sz w:val="24"/>
          <w:lang w:eastAsia="zh-CN"/>
        </w:rPr>
        <w:sectPr>
          <w:pgSz w:w="11906" w:h="16838"/>
          <w:pgMar w:top="1247" w:right="1247" w:bottom="1247" w:left="1247" w:header="851" w:footer="992" w:gutter="0"/>
          <w:cols w:space="425" w:num="1"/>
          <w:docGrid w:type="lines" w:linePitch="312" w:charSpace="0"/>
        </w:sectPr>
      </w:pPr>
      <w:r>
        <w:rPr>
          <w:rFonts w:hint="eastAsia"/>
          <w:color w:val="auto"/>
          <w:sz w:val="24"/>
        </w:rPr>
        <w:t>每学年安排40周教学活动，总学时数不低于2500，公共基础课程学时应当不少于总学时的1/4。选修课教学时数占总学时的比例均应当不少于10%。实践性教学学时原则上占总学时数50%以上。</w:t>
      </w:r>
      <w:r>
        <w:rPr>
          <w:rFonts w:hint="eastAsia" w:ascii="宋体" w:hAnsi="宋体"/>
          <w:color w:val="auto"/>
          <w:sz w:val="24"/>
        </w:rPr>
        <w:t>学分计算时按照理论课16学时/学分计算，实践课（环节）2</w:t>
      </w:r>
      <w:r>
        <w:rPr>
          <w:rFonts w:hint="eastAsia" w:ascii="宋体" w:hAnsi="宋体"/>
          <w:color w:val="auto"/>
          <w:sz w:val="24"/>
          <w:lang w:val="en-US" w:eastAsia="zh-CN"/>
        </w:rPr>
        <w:t>4</w:t>
      </w:r>
      <w:r>
        <w:rPr>
          <w:rFonts w:hint="eastAsia" w:ascii="宋体" w:hAnsi="宋体"/>
          <w:color w:val="auto"/>
          <w:sz w:val="24"/>
        </w:rPr>
        <w:t>学时/学分或每周1学分计算</w:t>
      </w:r>
      <w:r>
        <w:rPr>
          <w:rFonts w:hint="eastAsia" w:ascii="宋体" w:hAnsi="宋体"/>
          <w:color w:val="auto"/>
          <w:sz w:val="24"/>
          <w:lang w:eastAsia="zh-CN"/>
        </w:rPr>
        <w:t>。</w:t>
      </w:r>
    </w:p>
    <w:p>
      <w:pPr>
        <w:numPr>
          <w:ilvl w:val="0"/>
          <w:numId w:val="0"/>
        </w:numPr>
        <w:adjustRightInd w:val="0"/>
        <w:spacing w:line="560" w:lineRule="exact"/>
        <w:rPr>
          <w:rFonts w:hint="eastAsia" w:ascii="黑体" w:hAnsi="黑体" w:eastAsia="黑体"/>
          <w:b/>
          <w:color w:val="auto"/>
          <w:sz w:val="24"/>
          <w:szCs w:val="24"/>
          <w:lang w:eastAsia="zh-CN"/>
        </w:rPr>
      </w:pPr>
    </w:p>
    <w:p>
      <w:pPr>
        <w:numPr>
          <w:ilvl w:val="0"/>
          <w:numId w:val="3"/>
        </w:numPr>
        <w:adjustRightInd w:val="0"/>
        <w:spacing w:line="560" w:lineRule="exact"/>
        <w:rPr>
          <w:rFonts w:ascii="黑体" w:hAnsi="黑体" w:eastAsia="黑体"/>
          <w:b/>
          <w:color w:val="auto"/>
          <w:sz w:val="24"/>
          <w:szCs w:val="24"/>
        </w:rPr>
      </w:pPr>
      <w:r>
        <w:rPr>
          <w:rFonts w:ascii="黑体" w:hAnsi="黑体" w:eastAsia="黑体"/>
          <w:b/>
          <w:color w:val="auto"/>
          <w:sz w:val="24"/>
          <w:szCs w:val="24"/>
        </w:rPr>
        <w:t>教学进程总体安排</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1925"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Merge w:val="restart"/>
          </w:tcPr>
          <w:p>
            <w:pPr>
              <w:widowControl/>
              <w:jc w:val="center"/>
              <w:rPr>
                <w:rFonts w:ascii="宋体" w:hAnsi="宋体" w:cs="宋体"/>
                <w:b/>
                <w:bCs/>
                <w:color w:val="auto"/>
                <w:kern w:val="0"/>
                <w:szCs w:val="21"/>
              </w:rPr>
            </w:pPr>
          </w:p>
          <w:p>
            <w:pPr>
              <w:widowControl/>
              <w:rPr>
                <w:rFonts w:ascii="宋体" w:hAnsi="宋体" w:cs="宋体"/>
                <w:b/>
                <w:bCs/>
                <w:color w:val="auto"/>
                <w:kern w:val="0"/>
                <w:szCs w:val="21"/>
              </w:rPr>
            </w:pPr>
            <w:r>
              <w:rPr>
                <w:rFonts w:hint="eastAsia" w:ascii="宋体" w:hAnsi="宋体" w:cs="宋体"/>
                <w:b/>
                <w:bCs/>
                <w:color w:val="auto"/>
                <w:kern w:val="0"/>
                <w:szCs w:val="21"/>
              </w:rPr>
              <w:t>学</w:t>
            </w:r>
          </w:p>
          <w:p>
            <w:pPr>
              <w:widowControl/>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182</w:t>
            </w:r>
          </w:p>
        </w:tc>
        <w:tc>
          <w:tcPr>
            <w:tcW w:w="769" w:type="dxa"/>
            <w:noWrap/>
            <w:vAlign w:val="center"/>
          </w:tcPr>
          <w:p>
            <w:pPr>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150</w:t>
            </w:r>
          </w:p>
        </w:tc>
        <w:tc>
          <w:tcPr>
            <w:tcW w:w="709" w:type="dxa"/>
            <w:noWrap/>
            <w:vAlign w:val="center"/>
          </w:tcPr>
          <w:p>
            <w:pPr>
              <w:jc w:val="center"/>
              <w:rPr>
                <w:rFonts w:hint="default" w:ascii="宋体" w:cs="宋体" w:hAnsiTheme="minorHAnsi" w:eastAsiaTheme="minorEastAsia"/>
                <w:b/>
                <w:bCs/>
                <w:color w:val="auto"/>
                <w:kern w:val="0"/>
                <w:sz w:val="21"/>
                <w:szCs w:val="21"/>
                <w:lang w:val="en-US" w:eastAsia="zh-CN" w:bidi="ar-SA"/>
              </w:rPr>
            </w:pPr>
            <w:r>
              <w:rPr>
                <w:rFonts w:hint="eastAsia" w:ascii="宋体" w:cs="宋体"/>
                <w:b/>
                <w:bCs/>
                <w:color w:val="auto"/>
                <w:kern w:val="0"/>
                <w:szCs w:val="21"/>
                <w:lang w:val="en-US" w:eastAsia="zh-CN"/>
              </w:rPr>
              <w:t>30</w:t>
            </w:r>
          </w:p>
        </w:tc>
        <w:tc>
          <w:tcPr>
            <w:tcW w:w="709" w:type="dxa"/>
            <w:noWrap/>
            <w:vAlign w:val="center"/>
          </w:tcPr>
          <w:p>
            <w:pPr>
              <w:jc w:val="center"/>
              <w:rPr>
                <w:rFonts w:hint="default" w:ascii="宋体" w:cs="宋体" w:hAnsiTheme="minorHAnsi" w:eastAsiaTheme="minorEastAsia"/>
                <w:b/>
                <w:bCs/>
                <w:color w:val="auto"/>
                <w:kern w:val="0"/>
                <w:sz w:val="21"/>
                <w:szCs w:val="21"/>
                <w:lang w:val="en-US" w:eastAsia="zh-CN" w:bidi="ar-SA"/>
              </w:rPr>
            </w:pPr>
            <w:r>
              <w:rPr>
                <w:rFonts w:hint="eastAsia" w:ascii="宋体" w:cs="宋体"/>
                <w:b/>
                <w:bCs/>
                <w:color w:val="auto"/>
                <w:kern w:val="0"/>
                <w:szCs w:val="21"/>
                <w:lang w:val="en-US" w:eastAsia="zh-CN"/>
              </w:rPr>
              <w:t>46</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40" w:type="dxa"/>
            <w:noWrap/>
            <w:vAlign w:val="center"/>
          </w:tcPr>
          <w:p>
            <w:pPr>
              <w:jc w:val="center"/>
              <w:rPr>
                <w:rFonts w:asciiTheme="minorEastAsia" w:hAnsiTheme="minorEastAsia"/>
                <w:b/>
                <w:bCs/>
                <w:color w:val="auto"/>
                <w:szCs w:val="21"/>
              </w:rPr>
            </w:pP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15</w:t>
            </w:r>
          </w:p>
        </w:tc>
        <w:tc>
          <w:tcPr>
            <w:tcW w:w="713"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36</w:t>
            </w:r>
          </w:p>
        </w:tc>
        <w:tc>
          <w:tcPr>
            <w:tcW w:w="769"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90</w:t>
            </w:r>
          </w:p>
        </w:tc>
        <w:tc>
          <w:tcPr>
            <w:tcW w:w="709"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36</w:t>
            </w:r>
          </w:p>
        </w:tc>
        <w:tc>
          <w:tcPr>
            <w:tcW w:w="709"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218</w:t>
            </w:r>
          </w:p>
        </w:tc>
        <w:tc>
          <w:tcPr>
            <w:tcW w:w="769"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240</w:t>
            </w:r>
          </w:p>
        </w:tc>
        <w:tc>
          <w:tcPr>
            <w:tcW w:w="709"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66</w:t>
            </w:r>
          </w:p>
        </w:tc>
        <w:tc>
          <w:tcPr>
            <w:tcW w:w="709"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136</w:t>
            </w:r>
          </w:p>
        </w:tc>
        <w:tc>
          <w:tcPr>
            <w:tcW w:w="741"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6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机械制图</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84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14*6</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金属材料与成型工艺</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AutoCAD</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互换性与测量技术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电工电子技术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28</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机械设计基础</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bidi="ar-SA"/>
              </w:rPr>
              <w:t>284</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66</w:t>
            </w:r>
          </w:p>
        </w:tc>
        <w:tc>
          <w:tcPr>
            <w:tcW w:w="640"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350</w:t>
            </w:r>
          </w:p>
        </w:tc>
        <w:tc>
          <w:tcPr>
            <w:tcW w:w="659" w:type="dxa"/>
            <w:vAlign w:val="top"/>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20</w:t>
            </w:r>
          </w:p>
        </w:tc>
        <w:tc>
          <w:tcPr>
            <w:tcW w:w="713"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182</w:t>
            </w:r>
          </w:p>
        </w:tc>
        <w:tc>
          <w:tcPr>
            <w:tcW w:w="76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188</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41" w:type="dxa"/>
            <w:noWrap/>
            <w:vAlign w:val="center"/>
          </w:tcPr>
          <w:p>
            <w:pPr>
              <w:widowControl/>
              <w:jc w:val="left"/>
              <w:rPr>
                <w:rFonts w:asci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数控机床</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数控加工编程及操作</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72</w:t>
            </w:r>
          </w:p>
        </w:tc>
        <w:tc>
          <w:tcPr>
            <w:tcW w:w="659" w:type="dxa"/>
            <w:vAlign w:val="top"/>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机械制造技术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数控机床电气控制</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液压系统安装及调试</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6</w:t>
            </w:r>
          </w:p>
        </w:tc>
        <w:tc>
          <w:tcPr>
            <w:tcW w:w="640"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60</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机械CAD/CAM</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数控加工工艺</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数控机床故障诊断与维护</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hint="eastAsia" w:ascii="宋体" w:hAnsi="宋体" w:eastAsia="宋体" w:cs="宋体"/>
                <w:color w:val="auto"/>
                <w:kern w:val="0"/>
                <w:sz w:val="18"/>
                <w:szCs w:val="18"/>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316</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150</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466</w:t>
            </w:r>
          </w:p>
        </w:tc>
        <w:tc>
          <w:tcPr>
            <w:tcW w:w="659" w:type="dxa"/>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27</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250</w:t>
            </w: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216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rPr>
            </w:pPr>
          </w:p>
        </w:tc>
        <w:tc>
          <w:tcPr>
            <w:tcW w:w="68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6"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钳工实训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7"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pacing w:val="-6"/>
                <w:sz w:val="18"/>
                <w:szCs w:val="18"/>
              </w:rPr>
              <w:t>焊工实训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40" w:type="dxa"/>
            <w:noWrap/>
            <w:vAlign w:val="center"/>
          </w:tcPr>
          <w:p>
            <w:pPr>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数控加工实训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40" w:type="dxa"/>
            <w:noWrap/>
            <w:vAlign w:val="center"/>
          </w:tcPr>
          <w:p>
            <w:pPr>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713"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0</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59" w:type="dxa"/>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16</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专业综合技能训练（或跟岗实习）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8</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顶岗实习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24</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ascii="宋体" w:cs="宋体"/>
                <w:b/>
                <w:bCs/>
                <w:color w:val="auto"/>
                <w:kern w:val="0"/>
                <w:szCs w:val="21"/>
              </w:rPr>
            </w:pPr>
            <w:r>
              <w:rPr>
                <w:rFonts w:ascii="宋体" w:cs="宋体"/>
                <w:b/>
                <w:bCs/>
                <w:color w:val="auto"/>
                <w:kern w:val="0"/>
                <w:szCs w:val="21"/>
              </w:rPr>
              <w:t>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59" w:type="dxa"/>
          </w:tcPr>
          <w:p>
            <w:pPr>
              <w:widowControl/>
              <w:jc w:val="left"/>
              <w:rPr>
                <w:rFonts w:ascii="宋体" w:hAnsi="宋体" w:cs="宋体"/>
                <w:b/>
                <w:bCs/>
                <w:color w:val="auto"/>
                <w:kern w:val="0"/>
                <w:szCs w:val="21"/>
              </w:rPr>
            </w:pPr>
            <w:r>
              <w:rPr>
                <w:rFonts w:hint="eastAsia" w:ascii="宋体" w:hAnsi="宋体" w:cs="宋体"/>
                <w:b/>
                <w:bCs/>
                <w:color w:val="auto"/>
                <w:kern w:val="0"/>
                <w:szCs w:val="21"/>
              </w:rPr>
              <w:t>32</w:t>
            </w:r>
          </w:p>
        </w:tc>
        <w:tc>
          <w:tcPr>
            <w:tcW w:w="713" w:type="dxa"/>
            <w:noWrap/>
            <w:vAlign w:val="center"/>
          </w:tcPr>
          <w:p>
            <w:pPr>
              <w:widowControl/>
              <w:ind w:firstLine="211" w:firstLineChars="100"/>
              <w:jc w:val="left"/>
              <w:rPr>
                <w:rFonts w:ascii="宋体" w:cs="宋体"/>
                <w:b/>
                <w:bCs/>
                <w:color w:val="auto"/>
                <w:kern w:val="0"/>
                <w:szCs w:val="21"/>
              </w:rPr>
            </w:pPr>
          </w:p>
        </w:tc>
        <w:tc>
          <w:tcPr>
            <w:tcW w:w="76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645"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59" w:type="dxa"/>
          </w:tcPr>
          <w:p>
            <w:pPr>
              <w:widowControl/>
              <w:ind w:firstLine="103" w:firstLineChars="49"/>
              <w:jc w:val="center"/>
              <w:rPr>
                <w:rFonts w:ascii="宋体" w:hAnsi="宋体" w:cs="宋体"/>
                <w:b/>
                <w:bCs/>
                <w:color w:val="auto"/>
                <w:kern w:val="0"/>
                <w:szCs w:val="21"/>
              </w:rPr>
            </w:pPr>
          </w:p>
        </w:tc>
        <w:tc>
          <w:tcPr>
            <w:tcW w:w="713" w:type="dxa"/>
            <w:noWrap/>
            <w:vAlign w:val="center"/>
          </w:tcPr>
          <w:p>
            <w:pPr>
              <w:widowControl/>
              <w:ind w:firstLine="103" w:firstLineChars="49"/>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20</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25</w:t>
            </w:r>
          </w:p>
        </w:tc>
        <w:tc>
          <w:tcPr>
            <w:tcW w:w="709" w:type="dxa"/>
            <w:noWrap/>
            <w:vAlign w:val="center"/>
          </w:tcPr>
          <w:p>
            <w:pPr>
              <w:widowControl/>
              <w:ind w:firstLine="207" w:firstLineChars="98"/>
              <w:jc w:val="both"/>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22</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w:t>
            </w:r>
          </w:p>
        </w:tc>
        <w:tc>
          <w:tcPr>
            <w:tcW w:w="741" w:type="dxa"/>
            <w:noWrap/>
            <w:vAlign w:val="center"/>
          </w:tcPr>
          <w:p>
            <w:pPr>
              <w:widowControl/>
              <w:jc w:val="center"/>
              <w:rPr>
                <w:rFonts w:ascii="宋体" w:cs="宋体"/>
                <w:b/>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645"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1232</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1268</w:t>
            </w:r>
          </w:p>
        </w:tc>
        <w:tc>
          <w:tcPr>
            <w:tcW w:w="640"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2500</w:t>
            </w:r>
          </w:p>
        </w:tc>
        <w:tc>
          <w:tcPr>
            <w:tcW w:w="659" w:type="dxa"/>
          </w:tcPr>
          <w:p>
            <w:pPr>
              <w:widowControl/>
              <w:jc w:val="center"/>
              <w:rPr>
                <w:rFonts w:hint="default" w:ascii="宋体" w:hAnsi="宋体" w:cs="宋体" w:eastAsiaTheme="minorEastAsia"/>
                <w:b/>
                <w:color w:val="auto"/>
                <w:kern w:val="0"/>
                <w:szCs w:val="21"/>
                <w:lang w:val="en-US" w:eastAsia="zh-CN"/>
              </w:rPr>
            </w:pPr>
            <w:r>
              <w:rPr>
                <w:rFonts w:hint="eastAsia" w:ascii="宋体" w:hAnsi="宋体" w:cs="宋体"/>
                <w:b/>
                <w:color w:val="auto"/>
                <w:kern w:val="0"/>
                <w:szCs w:val="21"/>
                <w:lang w:val="en-US" w:eastAsia="zh-CN"/>
              </w:rPr>
              <w:t>134.5</w:t>
            </w:r>
          </w:p>
        </w:tc>
        <w:tc>
          <w:tcPr>
            <w:tcW w:w="713"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400</w:t>
            </w:r>
          </w:p>
        </w:tc>
        <w:tc>
          <w:tcPr>
            <w:tcW w:w="76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504</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460</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496</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widowControl w:val="0"/>
        <w:numPr>
          <w:ilvl w:val="0"/>
          <w:numId w:val="0"/>
        </w:numPr>
        <w:adjustRightInd w:val="0"/>
        <w:spacing w:line="560" w:lineRule="exact"/>
        <w:jc w:val="both"/>
        <w:rPr>
          <w:rFonts w:ascii="黑体" w:hAnsi="黑体" w:eastAsia="黑体"/>
          <w:b/>
          <w:color w:val="auto"/>
          <w:sz w:val="24"/>
          <w:szCs w:val="24"/>
        </w:rPr>
      </w:pPr>
    </w:p>
    <w:p>
      <w:pPr>
        <w:pStyle w:val="6"/>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5"/>
        <w:gridCol w:w="1751"/>
        <w:gridCol w:w="1751"/>
        <w:gridCol w:w="1364"/>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5"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660</w:t>
            </w:r>
          </w:p>
        </w:tc>
        <w:tc>
          <w:tcPr>
            <w:tcW w:w="915"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252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w:t>
            </w:r>
          </w:p>
        </w:tc>
        <w:tc>
          <w:tcPr>
            <w:tcW w:w="915"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600</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1240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1840</w:t>
            </w:r>
          </w:p>
        </w:tc>
        <w:tc>
          <w:tcPr>
            <w:tcW w:w="915"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1232</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1268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2500</w:t>
            </w:r>
          </w:p>
        </w:tc>
        <w:tc>
          <w:tcPr>
            <w:tcW w:w="915" w:type="pct"/>
            <w:vAlign w:val="center"/>
          </w:tcPr>
          <w:p>
            <w:pPr>
              <w:bidi w:val="0"/>
              <w:jc w:val="center"/>
              <w:rPr>
                <w:rFonts w:hint="eastAsia" w:ascii="宋体" w:hAnsi="宋体" w:eastAsia="宋体" w:cs="宋体"/>
                <w:color w:val="auto"/>
                <w:sz w:val="24"/>
                <w:szCs w:val="24"/>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49.3%</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50.7%</w:t>
            </w:r>
          </w:p>
        </w:tc>
        <w:tc>
          <w:tcPr>
            <w:tcW w:w="800" w:type="pct"/>
            <w:vAlign w:val="center"/>
          </w:tcPr>
          <w:p>
            <w:pPr>
              <w:bidi w:val="0"/>
              <w:jc w:val="center"/>
              <w:rPr>
                <w:rFonts w:hint="eastAsia" w:ascii="宋体" w:hAnsi="宋体" w:eastAsia="宋体" w:cs="宋体"/>
                <w:color w:val="auto"/>
                <w:sz w:val="24"/>
                <w:szCs w:val="24"/>
                <w:lang w:val="en-US" w:eastAsia="zh-CN"/>
              </w:rPr>
            </w:pPr>
          </w:p>
        </w:tc>
        <w:tc>
          <w:tcPr>
            <w:tcW w:w="915" w:type="pct"/>
            <w:vAlign w:val="center"/>
          </w:tcPr>
          <w:p>
            <w:pPr>
              <w:bidi w:val="0"/>
              <w:jc w:val="center"/>
              <w:rPr>
                <w:rFonts w:hint="eastAsia" w:ascii="宋体" w:hAnsi="宋体" w:eastAsia="宋体" w:cs="宋体"/>
                <w:color w:val="auto"/>
                <w:sz w:val="24"/>
                <w:szCs w:val="24"/>
              </w:rPr>
            </w:pPr>
          </w:p>
        </w:tc>
      </w:tr>
    </w:tbl>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1906" w:h="16838"/>
          <w:pgMar w:top="1440" w:right="1800" w:bottom="1440" w:left="1800" w:header="851" w:footer="992" w:gutter="0"/>
          <w:cols w:space="0" w:num="1"/>
          <w:rtlGutter w:val="0"/>
          <w:docGrid w:type="lines" w:linePitch="312" w:charSpace="0"/>
        </w:sectPr>
      </w:pP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lang w:eastAsia="zh-CN"/>
        </w:rPr>
        <w:t>九</w:t>
      </w:r>
      <w:r>
        <w:rPr>
          <w:rFonts w:hint="eastAsia" w:ascii="黑体" w:hAnsi="黑体" w:eastAsia="黑体"/>
          <w:b/>
          <w:color w:val="auto"/>
          <w:sz w:val="24"/>
          <w:szCs w:val="24"/>
        </w:rPr>
        <w:t>、教学方式</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采用线上和线下结合的教学模式开展教学，即利用智慧职教云平台进行线上学习，同时利用假期到校进行线下教学、辅导。线下集中授课和辅导时数不得少于培养方案规定时数。</w:t>
      </w:r>
    </w:p>
    <w:p>
      <w:pPr>
        <w:keepNext w:val="0"/>
        <w:keepLines w:val="0"/>
        <w:pageBreakBefore w:val="0"/>
        <w:numPr>
          <w:ilvl w:val="0"/>
          <w:numId w:val="0"/>
        </w:numPr>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lang w:val="en-US" w:eastAsia="zh-CN"/>
        </w:rPr>
        <w:t>十</w:t>
      </w:r>
      <w:r>
        <w:rPr>
          <w:rFonts w:hint="eastAsia" w:ascii="黑体" w:hAnsi="黑体" w:eastAsia="黑体"/>
          <w:b/>
          <w:color w:val="auto"/>
          <w:sz w:val="24"/>
          <w:szCs w:val="24"/>
          <w:lang w:eastAsia="zh-CN"/>
        </w:rPr>
        <w:t>、</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（一）师资队伍</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1.队伍结构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学生数与本专业专任教师数比例不高于23:1，双师素质教师占专业教师比一般不低于60%，专任教师队伍要考虑职称、年龄，形成合理的梯队结构。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2.专任教师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具有高校教师资格和本专业领域有关证书；有理想信念、有道德情操、有扎实学识、有仁爱之心；具有数控技术相关专业本科及以上学历；具有扎实的数控技术理论功底和实践能力；具有较强信息化教学能力，能够开展课程教学改革和科学研究；每 5 年累计不少于 6 个月的企业实践经历。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3.专业带头人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原则上应具有副高及以上职称，能够较好地把握国内外数控技术行业、专业发展，能广泛联系行业企业，了解行业企业对数控技术专业人才的需求实际，教学设计、专业研究能力强，组织开展教科研工作能力强，在本区域或本领域具有一定的专业影响力。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4.兼职教师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b w:val="0"/>
          <w:bCs/>
          <w:color w:val="auto"/>
          <w:sz w:val="24"/>
          <w:szCs w:val="24"/>
          <w:lang w:val="en-US" w:eastAsia="zh-CN"/>
        </w:rPr>
        <w:t>兼职教师主要从数控技术相关企业聘任，具备良好的思想政治素质、职业道德和工匠精神，具有扎实的数控技术专业知识和丰富的实际工作经验，具有数控技术工程师及以上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主要包括能够满足正常的课程教学、实习实训所需的专业教室、实训室和实训基地。</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w:t>
      </w:r>
      <w:r>
        <w:rPr>
          <w:rFonts w:hint="eastAsia" w:ascii="宋体" w:hAnsi="宋体" w:eastAsia="宋体" w:cs="宋体"/>
          <w:b w:val="0"/>
          <w:bCs/>
          <w:color w:val="auto"/>
          <w:sz w:val="24"/>
          <w:szCs w:val="24"/>
          <w:lang w:val="en-US" w:eastAsia="zh-CN"/>
        </w:rPr>
        <w:t xml:space="preserve">专业教室（含制图教室）基本条件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一般配备黑（白）板、多媒体计算机、投影设备、音响设备，互联网接入或 WiFi 环境，并具有网络安全防护措施。安装应急照明装置并保持良好状态，符合紧急疏散要求、标志明显、保持逃生通道畅通无阻。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2.校内实训室（基地）基本要求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（3）数控加工实训中心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尽可能配备理论实践一体化实训室。 配置数控车床、数控铣床，每台机床均配备计算机。机床数量保证上课学生每 2～5 人 1 台。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（4）电工电子实训室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配备电工工具、通用示波器、万用表、各类电子元件等，保证上课学生每人 1 套；配备电工电子综合试验台等，视需求配备其他相关电工电子仪器设备。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（5）CAD/CAM 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配备计算机，保证上课学生每人 1 台；配备投影仪、多媒体等教学设备和主流 CAD/CAM 软件。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（6）特种加工实训室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配备数控电火花成型机、数控电火花线切割机等。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（7）机床电气控制实验室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配置 PLC、机床电气控制实训台、机床控制线路接线板（开放式）、电动机、接线工具、电线电缆等，保证上课学生每 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（8）机械机构展示室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配备常见的平面机构、凸轮机构、螺旋传动、带传动、链传动、齿轮传动、蜗杆传动、齿轮系、轴承、联轴器、离合器和弹簧等机械原理和机械零件装置模型。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（9）液压与气压传动实训室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color w:val="auto"/>
          <w:sz w:val="24"/>
          <w:szCs w:val="24"/>
          <w:lang w:val="en-US" w:eastAsia="zh-CN"/>
        </w:rPr>
        <w:t>配备液压与气压实训装置，保证上课学生每 2～5 人 1 台套。</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3.校外实训基地基本要求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具有稳定的校外实训基地。能够开展模具设计、数控编程、产品检验、质量管理、销售与技术支持等实训活动，实训设施齐备，实训岗位、实训指导教师确定，实训管理及实施规章制度齐全。</w:t>
      </w:r>
    </w:p>
    <w:p>
      <w:pPr>
        <w:keepNext w:val="0"/>
        <w:keepLines w:val="0"/>
        <w:pageBreakBefore w:val="0"/>
        <w:numPr>
          <w:ilvl w:val="0"/>
          <w:numId w:val="4"/>
        </w:numPr>
        <w:kinsoku/>
        <w:wordWrap/>
        <w:overflowPunct/>
        <w:topLinePunct w:val="0"/>
        <w:autoSpaceDE/>
        <w:bidi w:val="0"/>
        <w:adjustRightInd w:val="0"/>
        <w:snapToGrid/>
        <w:spacing w:line="360" w:lineRule="auto"/>
        <w:ind w:left="0" w:leftChars="0" w:firstLine="480" w:firstLineChars="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学生实习基地基本要求</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稳定的校外实习基地。能提供模具设计、数控编程、产品检验、质量管理、销售与技术支持等相关实习岗位，能涵盖当前模具设计与制造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5.支持信息化教学方面的基本要求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b w:val="0"/>
          <w:bCs/>
          <w:color w:val="auto"/>
          <w:sz w:val="24"/>
          <w:szCs w:val="24"/>
        </w:rPr>
        <w:t>具有利用数字化教学资源库、文献资料、常见问题解答等的信息化条件。引导鼓励教师开发并利用信息化教学资源、教学平台，创新教学方法、提升教学效果。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（三）教学资源</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主要包括能够满足学生专业学习、教师专业教学研究和教学实施需要的教材、图书及数字化教学资源等。 </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bookmarkStart w:id="0" w:name="_Toc241725852"/>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积极运用</w:t>
      </w:r>
      <w:r>
        <w:rPr>
          <w:rFonts w:hint="eastAsia" w:ascii="宋体" w:hAnsi="宋体" w:eastAsia="宋体" w:cs="宋体"/>
          <w:color w:val="auto"/>
          <w:kern w:val="0"/>
          <w:sz w:val="24"/>
          <w:szCs w:val="24"/>
        </w:rPr>
        <w:t>信息技术</w:t>
      </w:r>
      <w:r>
        <w:rPr>
          <w:rFonts w:hint="eastAsia" w:ascii="宋体" w:hAnsi="宋体" w:eastAsia="宋体" w:cs="宋体"/>
          <w:color w:val="auto"/>
          <w:kern w:val="0"/>
          <w:sz w:val="24"/>
          <w:szCs w:val="24"/>
          <w:lang w:eastAsia="zh-CN"/>
        </w:rPr>
        <w:t>开展</w:t>
      </w:r>
      <w:r>
        <w:rPr>
          <w:rFonts w:hint="eastAsia" w:ascii="宋体" w:hAnsi="宋体" w:eastAsia="宋体" w:cs="宋体"/>
          <w:color w:val="auto"/>
          <w:kern w:val="0"/>
          <w:sz w:val="24"/>
          <w:szCs w:val="24"/>
        </w:rPr>
        <w:t>教育教学，改进教学方式。</w:t>
      </w:r>
    </w:p>
    <w:p>
      <w:pPr>
        <w:keepNext w:val="0"/>
        <w:keepLines w:val="0"/>
        <w:pageBreakBefore w:val="0"/>
        <w:numPr>
          <w:ilvl w:val="0"/>
          <w:numId w:val="5"/>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rPr>
        <w:t>质量评价方法按照学校的统一要求，由学生评价、同行评价、校外专家评价相结合。</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学校、二级院系</w:t>
      </w:r>
      <w:r>
        <w:rPr>
          <w:rFonts w:hint="eastAsia" w:ascii="宋体" w:hAnsi="宋体" w:eastAsia="宋体" w:cs="宋体"/>
          <w:color w:val="auto"/>
          <w:kern w:val="0"/>
          <w:sz w:val="24"/>
          <w:szCs w:val="24"/>
          <w:lang w:eastAsia="zh-CN"/>
        </w:rPr>
        <w:t>进一步</w:t>
      </w:r>
      <w:r>
        <w:rPr>
          <w:rFonts w:hint="eastAsia" w:ascii="宋体" w:hAnsi="宋体" w:eastAsia="宋体" w:cs="宋体"/>
          <w:color w:val="auto"/>
          <w:kern w:val="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专业教研</w:t>
      </w:r>
      <w:r>
        <w:rPr>
          <w:rFonts w:hint="eastAsia" w:ascii="宋体" w:hAnsi="宋体" w:eastAsia="宋体" w:cs="宋体"/>
          <w:color w:val="auto"/>
          <w:kern w:val="0"/>
          <w:sz w:val="24"/>
          <w:szCs w:val="24"/>
          <w:lang w:eastAsia="zh-CN"/>
        </w:rPr>
        <w:t>室</w:t>
      </w:r>
      <w:r>
        <w:rPr>
          <w:rFonts w:hint="eastAsia" w:ascii="宋体" w:hAnsi="宋体" w:eastAsia="宋体" w:cs="宋体"/>
          <w:color w:val="auto"/>
          <w:kern w:val="0"/>
          <w:sz w:val="24"/>
          <w:szCs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asciiTheme="minorEastAsia" w:hAnsiTheme="minorEastAsia"/>
          <w:color w:val="auto"/>
          <w:sz w:val="24"/>
          <w:szCs w:val="24"/>
        </w:rPr>
      </w:pPr>
      <w:r>
        <w:rPr>
          <w:rFonts w:hint="eastAsia" w:ascii="宋体" w:hAnsi="宋体" w:eastAsia="宋体" w:cs="宋体"/>
          <w:color w:val="auto"/>
          <w:sz w:val="24"/>
          <w:szCs w:val="24"/>
        </w:rPr>
        <w:t>按培养方案修完所有必修和选修课程并取得</w:t>
      </w:r>
      <w:r>
        <w:rPr>
          <w:rFonts w:hint="eastAsia" w:ascii="宋体" w:hAnsi="宋体" w:eastAsia="宋体" w:cs="宋体"/>
          <w:color w:val="auto"/>
          <w:sz w:val="24"/>
          <w:szCs w:val="24"/>
          <w:lang w:val="en-US" w:eastAsia="zh-CN"/>
        </w:rPr>
        <w:t>134.5</w:t>
      </w:r>
      <w:r>
        <w:rPr>
          <w:rFonts w:hint="eastAsia" w:ascii="宋体" w:hAnsi="宋体" w:eastAsia="宋体" w:cs="宋体"/>
          <w:color w:val="auto"/>
          <w:sz w:val="24"/>
          <w:szCs w:val="24"/>
        </w:rPr>
        <w:t>学分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学生取得的行业企业认可度高的有关职业资格证书、技能等级证书以及已掌握的有关技术技能，获得相关专业竞赛等级奖，可按一定规则折算为学历教育相应学分。</w:t>
      </w:r>
    </w:p>
    <w:p>
      <w:pPr>
        <w:keepNext w:val="0"/>
        <w:keepLines w:val="0"/>
        <w:pageBreakBefore w:val="0"/>
        <w:widowControl/>
        <w:kinsoku/>
        <w:wordWrap/>
        <w:overflowPunct/>
        <w:topLinePunct w:val="0"/>
        <w:autoSpaceDE/>
        <w:bidi w:val="0"/>
        <w:snapToGrid/>
        <w:spacing w:line="360" w:lineRule="auto"/>
        <w:jc w:val="left"/>
        <w:textAlignment w:val="auto"/>
        <w:rPr>
          <w:rFonts w:asciiTheme="minorEastAsia" w:hAnsiTheme="minorEastAsia"/>
          <w:b/>
          <w:color w:val="auto"/>
          <w:sz w:val="24"/>
          <w:szCs w:val="24"/>
          <w:shd w:val="clear" w:color="auto" w:fill="FFFFFF"/>
        </w:rPr>
      </w:pPr>
    </w:p>
    <w:p>
      <w:pPr>
        <w:spacing w:line="560" w:lineRule="exact"/>
        <w:jc w:val="left"/>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方案制（修）定人：</w:t>
      </w:r>
      <w:r>
        <w:rPr>
          <w:rFonts w:hint="eastAsia" w:ascii="宋体" w:hAnsi="宋体" w:eastAsia="宋体" w:cs="宋体"/>
          <w:color w:val="auto"/>
          <w:sz w:val="24"/>
          <w:szCs w:val="24"/>
          <w:lang w:eastAsia="zh-CN"/>
        </w:rPr>
        <w:t>陈静</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程启森、张俊、陈丽莉</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王振东、牛涛</w:t>
      </w:r>
    </w:p>
    <w:p>
      <w:pPr>
        <w:spacing w:line="560" w:lineRule="exact"/>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本方案适用于</w:t>
      </w:r>
      <w:r>
        <w:rPr>
          <w:rFonts w:hint="eastAsia" w:ascii="宋体" w:hAnsi="宋体" w:eastAsia="宋体" w:cs="宋体"/>
          <w:b w:val="0"/>
          <w:bCs w:val="0"/>
          <w:color w:val="auto"/>
          <w:sz w:val="24"/>
          <w:szCs w:val="24"/>
          <w:lang w:eastAsia="zh-CN"/>
        </w:rPr>
        <w:t>数控技术</w:t>
      </w:r>
      <w:r>
        <w:rPr>
          <w:rFonts w:hint="eastAsia" w:ascii="宋体" w:hAnsi="宋体" w:eastAsia="宋体" w:cs="宋体"/>
          <w:b w:val="0"/>
          <w:bCs w:val="0"/>
          <w:color w:val="auto"/>
          <w:sz w:val="24"/>
          <w:szCs w:val="24"/>
        </w:rPr>
        <w:t>扩招专业非退役军人生源类型</w:t>
      </w:r>
      <w:r>
        <w:rPr>
          <w:rFonts w:hint="eastAsia" w:ascii="宋体" w:hAnsi="宋体" w:eastAsia="宋体" w:cs="宋体"/>
          <w:b w:val="0"/>
          <w:bCs w:val="0"/>
          <w:color w:val="auto"/>
          <w:sz w:val="24"/>
          <w:szCs w:val="24"/>
          <w:lang w:eastAsia="zh-CN"/>
        </w:rPr>
        <w:t>。</w:t>
      </w:r>
    </w:p>
    <w:p>
      <w:pPr>
        <w:spacing w:line="560" w:lineRule="exact"/>
        <w:jc w:val="left"/>
        <w:rPr>
          <w:rFonts w:hint="eastAsia" w:ascii="宋体" w:hAnsi="宋体" w:eastAsia="宋体" w:cs="宋体"/>
          <w:color w:val="auto"/>
          <w:sz w:val="24"/>
          <w:szCs w:val="24"/>
          <w:lang w:eastAsia="zh-CN"/>
        </w:rPr>
      </w:pPr>
    </w:p>
    <w:p>
      <w:pPr>
        <w:keepNext w:val="0"/>
        <w:keepLines w:val="0"/>
        <w:pageBreakBefore w:val="0"/>
        <w:widowControl/>
        <w:kinsoku/>
        <w:wordWrap/>
        <w:overflowPunct/>
        <w:topLinePunct w:val="0"/>
        <w:autoSpaceDE/>
        <w:bidi w:val="0"/>
        <w:snapToGrid/>
        <w:spacing w:line="360" w:lineRule="auto"/>
        <w:jc w:val="left"/>
        <w:textAlignment w:val="auto"/>
        <w:rPr>
          <w:rFonts w:asciiTheme="minorEastAsia" w:hAnsiTheme="minorEastAsia"/>
          <w:b/>
          <w:color w:val="auto"/>
          <w:sz w:val="24"/>
          <w:szCs w:val="24"/>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7B435D"/>
    <w:multiLevelType w:val="singleLevel"/>
    <w:tmpl w:val="B47B435D"/>
    <w:lvl w:ilvl="0" w:tentative="0">
      <w:start w:val="7"/>
      <w:numFmt w:val="chineseCounting"/>
      <w:suff w:val="nothing"/>
      <w:lvlText w:val="%1、"/>
      <w:lvlJc w:val="left"/>
      <w:rPr>
        <w:rFonts w:hint="eastAsia"/>
      </w:rPr>
    </w:lvl>
  </w:abstractNum>
  <w:abstractNum w:abstractNumId="1">
    <w:nsid w:val="CF7ECDCE"/>
    <w:multiLevelType w:val="singleLevel"/>
    <w:tmpl w:val="CF7ECDCE"/>
    <w:lvl w:ilvl="0" w:tentative="0">
      <w:start w:val="10"/>
      <w:numFmt w:val="decimal"/>
      <w:suff w:val="nothing"/>
      <w:lvlText w:val="（%1）"/>
      <w:lvlJc w:val="left"/>
    </w:lvl>
  </w:abstractNum>
  <w:abstractNum w:abstractNumId="2">
    <w:nsid w:val="CFE339C6"/>
    <w:multiLevelType w:val="singleLevel"/>
    <w:tmpl w:val="CFE339C6"/>
    <w:lvl w:ilvl="0" w:tentative="0">
      <w:start w:val="4"/>
      <w:numFmt w:val="decimal"/>
      <w:lvlText w:val="%1."/>
      <w:lvlJc w:val="left"/>
      <w:pPr>
        <w:tabs>
          <w:tab w:val="left" w:pos="312"/>
        </w:tabs>
      </w:pPr>
    </w:lvl>
  </w:abstractNum>
  <w:abstractNum w:abstractNumId="3">
    <w:nsid w:val="E3517928"/>
    <w:multiLevelType w:val="singleLevel"/>
    <w:tmpl w:val="E3517928"/>
    <w:lvl w:ilvl="0" w:tentative="0">
      <w:start w:val="5"/>
      <w:numFmt w:val="decimal"/>
      <w:suff w:val="nothing"/>
      <w:lvlText w:val="（%1）"/>
      <w:lvlJc w:val="left"/>
    </w:lvl>
  </w:abstractNum>
  <w:abstractNum w:abstractNumId="4">
    <w:nsid w:val="13F495AE"/>
    <w:multiLevelType w:val="singleLevel"/>
    <w:tmpl w:val="13F495AE"/>
    <w:lvl w:ilvl="0" w:tentative="0">
      <w:start w:val="5"/>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7F8F"/>
    <w:rsid w:val="009A218C"/>
    <w:rsid w:val="009B00C8"/>
    <w:rsid w:val="009B6589"/>
    <w:rsid w:val="009F4424"/>
    <w:rsid w:val="00A13382"/>
    <w:rsid w:val="00A14A8B"/>
    <w:rsid w:val="00A25356"/>
    <w:rsid w:val="00A3707D"/>
    <w:rsid w:val="00AD050D"/>
    <w:rsid w:val="00AD72D5"/>
    <w:rsid w:val="00AD7C3B"/>
    <w:rsid w:val="00AE02FA"/>
    <w:rsid w:val="00AE2DA5"/>
    <w:rsid w:val="00AE35D7"/>
    <w:rsid w:val="00B027C6"/>
    <w:rsid w:val="00B11BA5"/>
    <w:rsid w:val="00B32641"/>
    <w:rsid w:val="00B7258B"/>
    <w:rsid w:val="00B86477"/>
    <w:rsid w:val="00B96FB6"/>
    <w:rsid w:val="00BA4647"/>
    <w:rsid w:val="00BB496C"/>
    <w:rsid w:val="00BB4A36"/>
    <w:rsid w:val="00BD5623"/>
    <w:rsid w:val="00BE68A6"/>
    <w:rsid w:val="00C06F1D"/>
    <w:rsid w:val="00C22B38"/>
    <w:rsid w:val="00C80C13"/>
    <w:rsid w:val="00C84C26"/>
    <w:rsid w:val="00CA5D90"/>
    <w:rsid w:val="00CB7D6C"/>
    <w:rsid w:val="00CC16D1"/>
    <w:rsid w:val="00CD3458"/>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C4E86"/>
    <w:rsid w:val="00FD3450"/>
    <w:rsid w:val="00FF48F6"/>
    <w:rsid w:val="01FE6585"/>
    <w:rsid w:val="04082264"/>
    <w:rsid w:val="0AC54AFA"/>
    <w:rsid w:val="0EFD0C85"/>
    <w:rsid w:val="0FB65E80"/>
    <w:rsid w:val="110317BF"/>
    <w:rsid w:val="16525878"/>
    <w:rsid w:val="18171E63"/>
    <w:rsid w:val="19A50350"/>
    <w:rsid w:val="1A7B7649"/>
    <w:rsid w:val="1CAA0D29"/>
    <w:rsid w:val="1CF253C9"/>
    <w:rsid w:val="1DFE58DE"/>
    <w:rsid w:val="21AF1204"/>
    <w:rsid w:val="232F3DF7"/>
    <w:rsid w:val="23354FEF"/>
    <w:rsid w:val="287A47D5"/>
    <w:rsid w:val="32801167"/>
    <w:rsid w:val="36202F53"/>
    <w:rsid w:val="36285C90"/>
    <w:rsid w:val="376C035E"/>
    <w:rsid w:val="3C2266E9"/>
    <w:rsid w:val="3F5E5C56"/>
    <w:rsid w:val="40BB483F"/>
    <w:rsid w:val="41F12A2D"/>
    <w:rsid w:val="42F91DFF"/>
    <w:rsid w:val="4C0274E4"/>
    <w:rsid w:val="517F2812"/>
    <w:rsid w:val="53A50757"/>
    <w:rsid w:val="558A3C7C"/>
    <w:rsid w:val="566C1953"/>
    <w:rsid w:val="587E35A9"/>
    <w:rsid w:val="6212089B"/>
    <w:rsid w:val="629A2DD5"/>
    <w:rsid w:val="62F17403"/>
    <w:rsid w:val="631B37EE"/>
    <w:rsid w:val="64991744"/>
    <w:rsid w:val="66F13B89"/>
    <w:rsid w:val="6AC3330B"/>
    <w:rsid w:val="6E621DEC"/>
    <w:rsid w:val="7032679E"/>
    <w:rsid w:val="70AF292C"/>
    <w:rsid w:val="73155091"/>
    <w:rsid w:val="7421172A"/>
    <w:rsid w:val="7920509A"/>
    <w:rsid w:val="7B9F3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页眉 Char"/>
    <w:basedOn w:val="13"/>
    <w:link w:val="7"/>
    <w:qFormat/>
    <w:uiPriority w:val="99"/>
    <w:rPr>
      <w:sz w:val="18"/>
      <w:szCs w:val="18"/>
    </w:rPr>
  </w:style>
  <w:style w:type="character" w:customStyle="1" w:styleId="18">
    <w:name w:val="页脚 Char"/>
    <w:basedOn w:val="13"/>
    <w:link w:val="6"/>
    <w:qFormat/>
    <w:uiPriority w:val="0"/>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3"/>
    <w:link w:val="2"/>
    <w:qFormat/>
    <w:uiPriority w:val="9"/>
    <w:rPr>
      <w:b/>
      <w:bCs/>
      <w:kern w:val="44"/>
      <w:sz w:val="44"/>
      <w:szCs w:val="44"/>
    </w:rPr>
  </w:style>
  <w:style w:type="character" w:customStyle="1" w:styleId="21">
    <w:name w:val="标题 3 Char"/>
    <w:basedOn w:val="13"/>
    <w:link w:val="3"/>
    <w:qFormat/>
    <w:uiPriority w:val="0"/>
    <w:rPr>
      <w:rFonts w:ascii="Times New Roman" w:hAnsi="Times New Roman" w:eastAsia="宋体" w:cs="Times New Roman"/>
      <w:sz w:val="24"/>
      <w:szCs w:val="20"/>
    </w:rPr>
  </w:style>
  <w:style w:type="character" w:customStyle="1" w:styleId="22">
    <w:name w:val="批注文字 Char"/>
    <w:basedOn w:val="13"/>
    <w:link w:val="4"/>
    <w:qFormat/>
    <w:uiPriority w:val="99"/>
  </w:style>
  <w:style w:type="character" w:customStyle="1" w:styleId="23">
    <w:name w:val="批注主题 Char"/>
    <w:basedOn w:val="22"/>
    <w:link w:val="10"/>
    <w:semiHidden/>
    <w:qFormat/>
    <w:uiPriority w:val="99"/>
    <w:rPr>
      <w:b/>
      <w:bCs/>
    </w:rPr>
  </w:style>
  <w:style w:type="character" w:customStyle="1" w:styleId="24">
    <w:name w:val="批注框文本 Char"/>
    <w:basedOn w:val="13"/>
    <w:link w:val="5"/>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3"/>
    <w:qFormat/>
    <w:uiPriority w:val="0"/>
  </w:style>
  <w:style w:type="character" w:customStyle="1" w:styleId="27">
    <w:name w:val="标题 Char"/>
    <w:basedOn w:val="13"/>
    <w:link w:val="9"/>
    <w:qFormat/>
    <w:uiPriority w:val="0"/>
    <w:rPr>
      <w:rFonts w:ascii="Cambria" w:hAnsi="Cambria" w:eastAsia="宋体" w:cs="Times New Roman"/>
      <w:b/>
      <w:bCs/>
      <w:sz w:val="4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2</TotalTime>
  <ScaleCrop>false</ScaleCrop>
  <LinksUpToDate>false</LinksUpToDate>
  <CharactersWithSpaces>4248</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ID=chengqs</cp:lastModifiedBy>
  <dcterms:modified xsi:type="dcterms:W3CDTF">2020-02-14T03:42:17Z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