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color w:val="auto"/>
          <w:sz w:val="32"/>
          <w:szCs w:val="32"/>
        </w:rPr>
      </w:pPr>
      <w:r>
        <w:rPr>
          <w:rFonts w:hint="eastAsia" w:asciiTheme="majorEastAsia" w:hAnsiTheme="majorEastAsia" w:eastAsiaTheme="majorEastAsia"/>
          <w:color w:val="auto"/>
          <w:sz w:val="32"/>
          <w:szCs w:val="32"/>
          <w:lang w:val="en-US" w:eastAsia="zh-CN"/>
        </w:rPr>
        <w:t xml:space="preserve"> </w:t>
      </w:r>
      <w:r>
        <w:rPr>
          <w:rFonts w:hint="eastAsia" w:asciiTheme="majorEastAsia" w:hAnsiTheme="majorEastAsia" w:eastAsiaTheme="majorEastAsia"/>
          <w:color w:val="auto"/>
          <w:sz w:val="32"/>
          <w:szCs w:val="32"/>
        </w:rPr>
        <w:t>安徽工业职业技术学院</w:t>
      </w:r>
    </w:p>
    <w:p>
      <w:pPr>
        <w:adjustRightInd w:val="0"/>
        <w:snapToGrid w:val="0"/>
        <w:jc w:val="center"/>
        <w:rPr>
          <w:rFonts w:asciiTheme="majorEastAsia" w:hAnsiTheme="majorEastAsia" w:eastAsiaTheme="majorEastAsia"/>
          <w:color w:val="auto"/>
          <w:sz w:val="32"/>
          <w:szCs w:val="32"/>
        </w:rPr>
      </w:pPr>
      <w:r>
        <w:rPr>
          <w:rFonts w:hint="eastAsia" w:asciiTheme="majorEastAsia" w:hAnsiTheme="majorEastAsia" w:eastAsiaTheme="majorEastAsia"/>
          <w:color w:val="auto"/>
          <w:sz w:val="32"/>
          <w:szCs w:val="32"/>
          <w:lang w:eastAsia="zh-CN"/>
        </w:rPr>
        <w:t>机械制造与自动化扩招</w:t>
      </w:r>
      <w:r>
        <w:rPr>
          <w:rFonts w:hint="eastAsia" w:asciiTheme="majorEastAsia" w:hAnsiTheme="majorEastAsia" w:eastAsiaTheme="majorEastAsia"/>
          <w:color w:val="auto"/>
          <w:sz w:val="32"/>
          <w:szCs w:val="32"/>
        </w:rPr>
        <w:t>专业人才培养方案（2019版）</w:t>
      </w:r>
    </w:p>
    <w:p>
      <w:pPr>
        <w:adjustRightInd w:val="0"/>
        <w:snapToGrid w:val="0"/>
        <w:jc w:val="center"/>
        <w:rPr>
          <w:rFonts w:asciiTheme="majorEastAsia" w:hAnsiTheme="majorEastAsia" w:eastAsiaTheme="majorEastAsia"/>
          <w:color w:val="auto"/>
          <w:sz w:val="32"/>
          <w:szCs w:val="32"/>
        </w:rPr>
      </w:pP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ascii="黑体" w:hAnsi="黑体" w:eastAsia="黑体"/>
          <w:b/>
          <w:color w:val="auto"/>
          <w:sz w:val="24"/>
          <w:szCs w:val="24"/>
        </w:rPr>
        <w:t>一、专业名称及代码</w:t>
      </w:r>
      <w:bookmarkStart w:id="1" w:name="_GoBack"/>
      <w:bookmarkEnd w:id="1"/>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rPr>
        <w:t>专业名称：</w:t>
      </w:r>
      <w:r>
        <w:rPr>
          <w:rFonts w:hint="eastAsia" w:asciiTheme="minorEastAsia" w:hAnsiTheme="minorEastAsia"/>
          <w:color w:val="auto"/>
          <w:sz w:val="24"/>
          <w:szCs w:val="24"/>
          <w:lang w:eastAsia="zh-CN"/>
        </w:rPr>
        <w:t>机械制造与自动化</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rPr>
        <w:t>专业代码：560102</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二</w:t>
      </w:r>
      <w:r>
        <w:rPr>
          <w:rFonts w:ascii="黑体" w:hAnsi="黑体" w:eastAsia="黑体"/>
          <w:b/>
          <w:color w:val="auto"/>
          <w:sz w:val="24"/>
          <w:szCs w:val="24"/>
        </w:rPr>
        <w:t>、</w:t>
      </w:r>
      <w:r>
        <w:rPr>
          <w:rFonts w:hint="eastAsia" w:ascii="黑体" w:hAnsi="黑体" w:eastAsia="黑体"/>
          <w:b/>
          <w:color w:val="auto"/>
          <w:sz w:val="24"/>
          <w:szCs w:val="24"/>
        </w:rPr>
        <w:t>入学要求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高中阶段教育毕业生或具有同等学力人员</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三</w:t>
      </w:r>
      <w:r>
        <w:rPr>
          <w:rFonts w:ascii="黑体" w:hAnsi="黑体" w:eastAsia="黑体"/>
          <w:b/>
          <w:color w:val="auto"/>
          <w:sz w:val="24"/>
          <w:szCs w:val="24"/>
        </w:rPr>
        <w:t>、修业年限</w:t>
      </w:r>
      <w:r>
        <w:rPr>
          <w:rFonts w:hint="eastAsia" w:ascii="黑体" w:hAnsi="黑体" w:eastAsia="黑体"/>
          <w:b/>
          <w:color w:val="auto"/>
          <w:sz w:val="24"/>
          <w:szCs w:val="24"/>
        </w:rPr>
        <w:t>与学历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olor w:val="auto"/>
          <w:sz w:val="24"/>
          <w:szCs w:val="24"/>
          <w:lang w:val="en-US" w:eastAsia="zh-CN"/>
        </w:rPr>
      </w:pPr>
      <w:r>
        <w:rPr>
          <w:rFonts w:hint="eastAsia" w:asciiTheme="minorEastAsia" w:hAnsiTheme="minorEastAsia"/>
          <w:color w:val="auto"/>
          <w:sz w:val="24"/>
          <w:szCs w:val="24"/>
        </w:rPr>
        <w:t>本专业学制3 年，可实施弹性学习，最长不超过6年</w:t>
      </w:r>
      <w:r>
        <w:rPr>
          <w:rFonts w:hint="eastAsia" w:asciiTheme="minorEastAsia" w:hAnsiTheme="minorEastAsia"/>
          <w:color w:val="auto"/>
          <w:sz w:val="24"/>
          <w:szCs w:val="24"/>
          <w:lang w:val="en-US" w:eastAsia="zh-CN"/>
        </w:rPr>
        <w:t>,</w:t>
      </w:r>
      <w:r>
        <w:rPr>
          <w:rFonts w:hint="eastAsia" w:asciiTheme="minorEastAsia" w:hAnsiTheme="minorEastAsia"/>
          <w:color w:val="auto"/>
          <w:sz w:val="24"/>
          <w:szCs w:val="24"/>
        </w:rPr>
        <w:t>专科</w:t>
      </w:r>
      <w:r>
        <w:rPr>
          <w:rFonts w:hint="eastAsia" w:asciiTheme="minorEastAsia" w:hAnsiTheme="minorEastAsia"/>
          <w:color w:val="auto"/>
          <w:sz w:val="24"/>
          <w:szCs w:val="24"/>
          <w:lang w:eastAsia="zh-CN"/>
        </w:rPr>
        <w:t>。</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四</w:t>
      </w:r>
      <w:r>
        <w:rPr>
          <w:rFonts w:ascii="黑体" w:hAnsi="黑体" w:eastAsia="黑体"/>
          <w:b/>
          <w:color w:val="auto"/>
          <w:sz w:val="24"/>
          <w:szCs w:val="24"/>
        </w:rPr>
        <w:t>、职业面向</w:t>
      </w:r>
    </w:p>
    <w:tbl>
      <w:tblPr>
        <w:tblStyle w:val="11"/>
        <w:tblpPr w:leftFromText="180" w:rightFromText="180" w:vertAnchor="text" w:horzAnchor="margin" w:tblpXSpec="center" w:tblpY="67"/>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276"/>
        <w:gridCol w:w="1649"/>
        <w:gridCol w:w="1995"/>
        <w:gridCol w:w="16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所属</w:t>
            </w:r>
          </w:p>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专业大类</w:t>
            </w:r>
          </w:p>
        </w:tc>
        <w:tc>
          <w:tcPr>
            <w:tcW w:w="1134"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所属</w:t>
            </w:r>
          </w:p>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专业类</w:t>
            </w:r>
          </w:p>
        </w:tc>
        <w:tc>
          <w:tcPr>
            <w:tcW w:w="1276"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对应</w:t>
            </w:r>
          </w:p>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行业</w:t>
            </w:r>
          </w:p>
        </w:tc>
        <w:tc>
          <w:tcPr>
            <w:tcW w:w="1649"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主要职业类别</w:t>
            </w:r>
          </w:p>
        </w:tc>
        <w:tc>
          <w:tcPr>
            <w:tcW w:w="1995"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主要岗位类别</w:t>
            </w:r>
          </w:p>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（或技术领域）</w:t>
            </w:r>
          </w:p>
        </w:tc>
        <w:tc>
          <w:tcPr>
            <w:tcW w:w="1685"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szCs w:val="24"/>
              </w:rPr>
            </w:pPr>
            <w:r>
              <w:rPr>
                <w:rFonts w:hint="eastAsia"/>
                <w:color w:val="auto"/>
                <w:sz w:val="24"/>
                <w:szCs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04" w:hRule="exact"/>
        </w:trPr>
        <w:tc>
          <w:tcPr>
            <w:tcW w:w="1242"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rFonts w:hint="eastAsia" w:cs="Tahoma" w:eastAsiaTheme="minorEastAsia"/>
                <w:bCs/>
                <w:color w:val="auto"/>
                <w:kern w:val="0"/>
                <w:sz w:val="24"/>
                <w:szCs w:val="24"/>
                <w:lang w:val="en-US" w:eastAsia="zh-CN"/>
              </w:rPr>
            </w:pPr>
            <w:r>
              <w:rPr>
                <w:rFonts w:hint="eastAsia" w:cs="Tahoma"/>
                <w:bCs/>
                <w:color w:val="auto"/>
                <w:kern w:val="0"/>
                <w:sz w:val="24"/>
                <w:szCs w:val="24"/>
                <w:lang w:val="en-US" w:eastAsia="zh-CN"/>
              </w:rPr>
              <w:t>制造装备大类（56）</w:t>
            </w:r>
          </w:p>
        </w:tc>
        <w:tc>
          <w:tcPr>
            <w:tcW w:w="1134" w:type="dxa"/>
            <w:vAlign w:val="center"/>
          </w:tcPr>
          <w:p>
            <w:pPr>
              <w:keepNext w:val="0"/>
              <w:keepLines w:val="0"/>
              <w:pageBreakBefore w:val="0"/>
              <w:kinsoku/>
              <w:wordWrap/>
              <w:overflowPunct/>
              <w:topLinePunct w:val="0"/>
              <w:autoSpaceDE/>
              <w:autoSpaceDN/>
              <w:bidi w:val="0"/>
              <w:snapToGrid/>
              <w:spacing w:line="360" w:lineRule="auto"/>
              <w:jc w:val="both"/>
              <w:textAlignment w:val="auto"/>
              <w:rPr>
                <w:rFonts w:cs="Tahoma" w:asciiTheme="minorHAnsi" w:hAnsiTheme="minorHAnsi" w:eastAsiaTheme="minorEastAsia"/>
                <w:bCs/>
                <w:color w:val="auto"/>
                <w:kern w:val="0"/>
                <w:sz w:val="24"/>
                <w:szCs w:val="24"/>
                <w:lang w:val="en-US" w:eastAsia="zh-CN" w:bidi="ar-SA"/>
              </w:rPr>
            </w:pPr>
            <w:r>
              <w:rPr>
                <w:rFonts w:hint="eastAsia" w:cs="Tahoma"/>
                <w:bCs/>
                <w:color w:val="auto"/>
                <w:kern w:val="0"/>
                <w:sz w:val="24"/>
                <w:szCs w:val="24"/>
                <w:lang w:val="en-US" w:eastAsia="zh-CN" w:bidi="ar-SA"/>
              </w:rPr>
              <w:t>机械设计制造类（5601））</w:t>
            </w:r>
          </w:p>
        </w:tc>
        <w:tc>
          <w:tcPr>
            <w:tcW w:w="1276" w:type="dxa"/>
            <w:vAlign w:val="center"/>
          </w:tcPr>
          <w:p>
            <w:pPr>
              <w:keepNext w:val="0"/>
              <w:keepLines w:val="0"/>
              <w:pageBreakBefore w:val="0"/>
              <w:kinsoku/>
              <w:wordWrap/>
              <w:overflowPunct/>
              <w:topLinePunct w:val="0"/>
              <w:autoSpaceDE/>
              <w:autoSpaceDN/>
              <w:bidi w:val="0"/>
              <w:snapToGrid/>
              <w:spacing w:line="360" w:lineRule="auto"/>
              <w:jc w:val="left"/>
              <w:textAlignment w:val="auto"/>
              <w:rPr>
                <w:rFonts w:hint="eastAsia" w:cs="Tahoma"/>
                <w:bCs/>
                <w:color w:val="auto"/>
                <w:kern w:val="0"/>
                <w:sz w:val="24"/>
                <w:szCs w:val="24"/>
                <w:lang w:eastAsia="zh-CN"/>
              </w:rPr>
            </w:pPr>
            <w:r>
              <w:rPr>
                <w:rFonts w:hint="eastAsia" w:cs="Tahoma"/>
                <w:bCs/>
                <w:color w:val="auto"/>
                <w:kern w:val="0"/>
                <w:sz w:val="24"/>
                <w:szCs w:val="24"/>
                <w:lang w:eastAsia="zh-CN"/>
              </w:rPr>
              <w:t>通用设备制造业（34）</w:t>
            </w:r>
          </w:p>
          <w:p>
            <w:pPr>
              <w:keepNext w:val="0"/>
              <w:keepLines w:val="0"/>
              <w:pageBreakBefore w:val="0"/>
              <w:kinsoku/>
              <w:wordWrap/>
              <w:overflowPunct/>
              <w:topLinePunct w:val="0"/>
              <w:autoSpaceDE/>
              <w:autoSpaceDN/>
              <w:bidi w:val="0"/>
              <w:snapToGrid/>
              <w:spacing w:line="360" w:lineRule="auto"/>
              <w:jc w:val="left"/>
              <w:textAlignment w:val="auto"/>
              <w:rPr>
                <w:rFonts w:hint="eastAsia" w:cs="Tahoma"/>
                <w:bCs/>
                <w:color w:val="auto"/>
                <w:kern w:val="0"/>
                <w:sz w:val="24"/>
                <w:szCs w:val="24"/>
                <w:lang w:eastAsia="zh-CN"/>
              </w:rPr>
            </w:pPr>
            <w:r>
              <w:rPr>
                <w:rFonts w:hint="eastAsia" w:cs="Tahoma"/>
                <w:bCs/>
                <w:color w:val="auto"/>
                <w:kern w:val="0"/>
                <w:sz w:val="24"/>
                <w:szCs w:val="24"/>
                <w:lang w:eastAsia="zh-CN"/>
              </w:rPr>
              <w:t>专业设备制造业（35）</w:t>
            </w:r>
          </w:p>
          <w:p>
            <w:pPr>
              <w:keepNext w:val="0"/>
              <w:keepLines w:val="0"/>
              <w:pageBreakBefore w:val="0"/>
              <w:kinsoku/>
              <w:wordWrap/>
              <w:overflowPunct/>
              <w:topLinePunct w:val="0"/>
              <w:autoSpaceDE/>
              <w:autoSpaceDN/>
              <w:bidi w:val="0"/>
              <w:snapToGrid/>
              <w:spacing w:line="360" w:lineRule="auto"/>
              <w:jc w:val="both"/>
              <w:textAlignment w:val="auto"/>
              <w:rPr>
                <w:rFonts w:hint="eastAsia" w:cs="Tahoma" w:eastAsiaTheme="minorEastAsia"/>
                <w:bCs/>
                <w:color w:val="auto"/>
                <w:kern w:val="0"/>
                <w:sz w:val="24"/>
                <w:szCs w:val="24"/>
                <w:lang w:eastAsia="zh-CN"/>
              </w:rPr>
            </w:pPr>
          </w:p>
        </w:tc>
        <w:tc>
          <w:tcPr>
            <w:tcW w:w="1649" w:type="dxa"/>
            <w:vAlign w:val="center"/>
          </w:tcPr>
          <w:p>
            <w:pPr>
              <w:keepNext w:val="0"/>
              <w:keepLines w:val="0"/>
              <w:pageBreakBefore w:val="0"/>
              <w:kinsoku/>
              <w:wordWrap/>
              <w:overflowPunct/>
              <w:topLinePunct w:val="0"/>
              <w:autoSpaceDE/>
              <w:autoSpaceDN/>
              <w:bidi w:val="0"/>
              <w:snapToGrid/>
              <w:spacing w:line="360" w:lineRule="auto"/>
              <w:jc w:val="left"/>
              <w:textAlignment w:val="auto"/>
              <w:rPr>
                <w:rFonts w:hint="eastAsia" w:cs="Tahoma"/>
                <w:bCs/>
                <w:color w:val="auto"/>
                <w:kern w:val="0"/>
                <w:sz w:val="24"/>
                <w:szCs w:val="24"/>
              </w:rPr>
            </w:pPr>
            <w:r>
              <w:rPr>
                <w:rFonts w:hint="eastAsia" w:cs="Tahoma"/>
                <w:bCs/>
                <w:color w:val="auto"/>
                <w:kern w:val="0"/>
                <w:sz w:val="24"/>
                <w:szCs w:val="24"/>
              </w:rPr>
              <w:t>机械工程技人员（2-02-07）</w:t>
            </w:r>
          </w:p>
          <w:p>
            <w:pPr>
              <w:keepNext w:val="0"/>
              <w:keepLines w:val="0"/>
              <w:pageBreakBefore w:val="0"/>
              <w:kinsoku/>
              <w:wordWrap/>
              <w:overflowPunct/>
              <w:topLinePunct w:val="0"/>
              <w:autoSpaceDE/>
              <w:autoSpaceDN/>
              <w:bidi w:val="0"/>
              <w:snapToGrid/>
              <w:spacing w:line="360" w:lineRule="auto"/>
              <w:jc w:val="left"/>
              <w:textAlignment w:val="auto"/>
              <w:rPr>
                <w:rFonts w:hint="eastAsia" w:cs="Tahoma"/>
                <w:bCs/>
                <w:color w:val="auto"/>
                <w:kern w:val="0"/>
                <w:sz w:val="24"/>
                <w:szCs w:val="24"/>
              </w:rPr>
            </w:pPr>
            <w:r>
              <w:rPr>
                <w:rFonts w:hint="eastAsia" w:cs="Tahoma"/>
                <w:bCs/>
                <w:color w:val="auto"/>
                <w:kern w:val="0"/>
                <w:sz w:val="24"/>
                <w:szCs w:val="24"/>
              </w:rPr>
              <w:t>机械冷加工员（6-18-01）</w:t>
            </w:r>
          </w:p>
          <w:p>
            <w:pPr>
              <w:keepNext w:val="0"/>
              <w:keepLines w:val="0"/>
              <w:pageBreakBefore w:val="0"/>
              <w:kinsoku/>
              <w:wordWrap/>
              <w:overflowPunct/>
              <w:topLinePunct w:val="0"/>
              <w:autoSpaceDE/>
              <w:autoSpaceDN/>
              <w:bidi w:val="0"/>
              <w:snapToGrid/>
              <w:spacing w:line="360" w:lineRule="auto"/>
              <w:jc w:val="left"/>
              <w:textAlignment w:val="auto"/>
              <w:rPr>
                <w:rFonts w:cs="Tahoma"/>
                <w:bCs/>
                <w:color w:val="auto"/>
                <w:kern w:val="0"/>
                <w:sz w:val="24"/>
                <w:szCs w:val="24"/>
              </w:rPr>
            </w:pPr>
          </w:p>
        </w:tc>
        <w:tc>
          <w:tcPr>
            <w:tcW w:w="1995" w:type="dxa"/>
            <w:vAlign w:val="center"/>
          </w:tcPr>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 w:val="24"/>
                <w:szCs w:val="24"/>
              </w:rPr>
            </w:pPr>
            <w:r>
              <w:rPr>
                <w:rFonts w:hint="eastAsia" w:cs="Tahoma"/>
                <w:bCs/>
                <w:color w:val="auto"/>
                <w:kern w:val="0"/>
                <w:sz w:val="24"/>
                <w:szCs w:val="24"/>
              </w:rPr>
              <w:t>设备操作人员</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 w:val="24"/>
                <w:szCs w:val="24"/>
              </w:rPr>
            </w:pPr>
            <w:r>
              <w:rPr>
                <w:rFonts w:hint="eastAsia" w:cs="Tahoma"/>
                <w:bCs/>
                <w:color w:val="auto"/>
                <w:kern w:val="0"/>
                <w:sz w:val="24"/>
                <w:szCs w:val="24"/>
              </w:rPr>
              <w:t>工艺技术人员</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 w:val="24"/>
                <w:szCs w:val="24"/>
              </w:rPr>
            </w:pPr>
            <w:r>
              <w:rPr>
                <w:rFonts w:hint="eastAsia" w:cs="Tahoma"/>
                <w:bCs/>
                <w:color w:val="auto"/>
                <w:kern w:val="0"/>
                <w:sz w:val="24"/>
                <w:szCs w:val="24"/>
              </w:rPr>
              <w:t>工装设计人员</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 w:val="24"/>
                <w:szCs w:val="24"/>
              </w:rPr>
            </w:pPr>
            <w:r>
              <w:rPr>
                <w:rFonts w:hint="eastAsia" w:cs="Tahoma"/>
                <w:bCs/>
                <w:color w:val="auto"/>
                <w:kern w:val="0"/>
                <w:sz w:val="24"/>
                <w:szCs w:val="24"/>
              </w:rPr>
              <w:t>机电设备安装调试及维修人员</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 w:val="24"/>
                <w:szCs w:val="24"/>
              </w:rPr>
            </w:pPr>
            <w:r>
              <w:rPr>
                <w:rFonts w:hint="eastAsia" w:cs="Tahoma"/>
                <w:bCs/>
                <w:color w:val="auto"/>
                <w:kern w:val="0"/>
                <w:sz w:val="24"/>
                <w:szCs w:val="24"/>
              </w:rPr>
              <w:t>生产现场管理人</w:t>
            </w:r>
          </w:p>
          <w:p>
            <w:pPr>
              <w:keepNext w:val="0"/>
              <w:keepLines w:val="0"/>
              <w:pageBreakBefore w:val="0"/>
              <w:kinsoku/>
              <w:wordWrap/>
              <w:overflowPunct/>
              <w:topLinePunct w:val="0"/>
              <w:autoSpaceDE/>
              <w:autoSpaceDN/>
              <w:bidi w:val="0"/>
              <w:snapToGrid/>
              <w:spacing w:line="360" w:lineRule="auto"/>
              <w:textAlignment w:val="auto"/>
              <w:rPr>
                <w:rFonts w:cs="Tahoma"/>
                <w:bCs/>
                <w:color w:val="auto"/>
                <w:kern w:val="0"/>
                <w:sz w:val="24"/>
                <w:szCs w:val="24"/>
              </w:rPr>
            </w:pPr>
            <w:r>
              <w:rPr>
                <w:rFonts w:hint="eastAsia" w:cs="Tahoma"/>
                <w:bCs/>
                <w:color w:val="auto"/>
                <w:kern w:val="0"/>
                <w:sz w:val="24"/>
                <w:szCs w:val="24"/>
              </w:rPr>
              <w:t>员</w:t>
            </w:r>
          </w:p>
        </w:tc>
        <w:tc>
          <w:tcPr>
            <w:tcW w:w="1685" w:type="dxa"/>
            <w:vAlign w:val="center"/>
          </w:tcPr>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 w:val="24"/>
                <w:szCs w:val="24"/>
              </w:rPr>
            </w:pPr>
            <w:r>
              <w:rPr>
                <w:rFonts w:hint="eastAsia" w:cs="Tahoma"/>
                <w:bCs/>
                <w:color w:val="auto"/>
                <w:kern w:val="0"/>
                <w:sz w:val="24"/>
                <w:szCs w:val="24"/>
              </w:rPr>
              <w:t>车工</w:t>
            </w:r>
            <w:r>
              <w:rPr>
                <w:rFonts w:hint="eastAsia" w:cs="Tahoma"/>
                <w:bCs/>
                <w:color w:val="auto"/>
                <w:kern w:val="0"/>
                <w:sz w:val="24"/>
                <w:szCs w:val="24"/>
                <w:lang w:eastAsia="zh-CN"/>
              </w:rPr>
              <w:t>、</w:t>
            </w:r>
            <w:r>
              <w:rPr>
                <w:rFonts w:hint="eastAsia" w:cs="Tahoma"/>
                <w:bCs/>
                <w:color w:val="auto"/>
                <w:kern w:val="0"/>
                <w:sz w:val="24"/>
                <w:szCs w:val="24"/>
              </w:rPr>
              <w:t>铣工</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 w:val="24"/>
                <w:szCs w:val="24"/>
                <w:lang w:eastAsia="zh-CN"/>
              </w:rPr>
            </w:pPr>
            <w:r>
              <w:rPr>
                <w:rFonts w:hint="eastAsia" w:cs="Tahoma"/>
                <w:bCs/>
                <w:color w:val="auto"/>
                <w:kern w:val="0"/>
                <w:sz w:val="24"/>
                <w:szCs w:val="24"/>
                <w:lang w:eastAsia="zh-CN"/>
              </w:rPr>
              <w:t>钳工、焊工</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 w:val="24"/>
                <w:szCs w:val="24"/>
              </w:rPr>
            </w:pPr>
            <w:r>
              <w:rPr>
                <w:rFonts w:hint="eastAsia" w:cs="Tahoma"/>
                <w:bCs/>
                <w:color w:val="auto"/>
                <w:kern w:val="0"/>
                <w:sz w:val="24"/>
                <w:szCs w:val="24"/>
              </w:rPr>
              <w:t>三维（或二</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 w:val="24"/>
                <w:szCs w:val="24"/>
              </w:rPr>
            </w:pPr>
            <w:r>
              <w:rPr>
                <w:rFonts w:hint="eastAsia" w:cs="Tahoma"/>
                <w:bCs/>
                <w:color w:val="auto"/>
                <w:kern w:val="0"/>
                <w:sz w:val="24"/>
                <w:szCs w:val="24"/>
              </w:rPr>
              <w:t>维）机械设</w:t>
            </w:r>
          </w:p>
          <w:p>
            <w:pPr>
              <w:keepNext w:val="0"/>
              <w:keepLines w:val="0"/>
              <w:pageBreakBefore w:val="0"/>
              <w:kinsoku/>
              <w:wordWrap/>
              <w:overflowPunct/>
              <w:topLinePunct w:val="0"/>
              <w:autoSpaceDE/>
              <w:autoSpaceDN/>
              <w:bidi w:val="0"/>
              <w:snapToGrid/>
              <w:spacing w:line="360" w:lineRule="auto"/>
              <w:textAlignment w:val="auto"/>
              <w:rPr>
                <w:rFonts w:cs="Tahoma"/>
                <w:bCs/>
                <w:color w:val="auto"/>
                <w:kern w:val="0"/>
                <w:sz w:val="24"/>
                <w:szCs w:val="24"/>
              </w:rPr>
            </w:pPr>
            <w:r>
              <w:rPr>
                <w:rFonts w:hint="eastAsia" w:cs="Tahoma"/>
                <w:bCs/>
                <w:color w:val="auto"/>
                <w:kern w:val="0"/>
                <w:sz w:val="24"/>
                <w:szCs w:val="24"/>
              </w:rPr>
              <w:t>计软件证书</w:t>
            </w:r>
          </w:p>
        </w:tc>
      </w:tr>
    </w:tbl>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五</w:t>
      </w:r>
      <w:r>
        <w:rPr>
          <w:rFonts w:ascii="黑体" w:hAnsi="黑体" w:eastAsia="黑体"/>
          <w:b/>
          <w:color w:val="auto"/>
          <w:sz w:val="24"/>
          <w:szCs w:val="24"/>
        </w:rPr>
        <w:t>、培养目标与</w:t>
      </w:r>
      <w:r>
        <w:rPr>
          <w:rFonts w:hint="eastAsia" w:ascii="黑体" w:hAnsi="黑体" w:eastAsia="黑体"/>
          <w:b/>
          <w:color w:val="auto"/>
          <w:sz w:val="24"/>
          <w:szCs w:val="24"/>
        </w:rPr>
        <w:t>培养</w:t>
      </w:r>
      <w:r>
        <w:rPr>
          <w:rFonts w:ascii="黑体" w:hAnsi="黑体" w:eastAsia="黑体"/>
          <w:b/>
          <w:color w:val="auto"/>
          <w:sz w:val="24"/>
          <w:szCs w:val="24"/>
        </w:rPr>
        <w:t>规格</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asciiTheme="minorEastAsia" w:hAnsiTheme="minorEastAsia"/>
          <w:b/>
          <w:color w:val="auto"/>
          <w:sz w:val="24"/>
          <w:szCs w:val="24"/>
        </w:rPr>
      </w:pPr>
      <w:r>
        <w:rPr>
          <w:rFonts w:hint="eastAsia" w:asciiTheme="minorEastAsia" w:hAnsiTheme="minorEastAsia"/>
          <w:b/>
          <w:color w:val="auto"/>
          <w:sz w:val="24"/>
          <w:szCs w:val="24"/>
        </w:rPr>
        <w:t>（一）培养目标</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rPr>
        <w:t>培养思想政治坚定、德技并修、全面发展，具有一定的科学文化水平、良好的职业道德和工匠精神、掌握</w:t>
      </w:r>
      <w:r>
        <w:rPr>
          <w:rFonts w:hint="eastAsia" w:asciiTheme="minorEastAsia" w:hAnsiTheme="minorEastAsia"/>
          <w:color w:val="auto"/>
          <w:sz w:val="24"/>
          <w:szCs w:val="24"/>
          <w:lang w:eastAsia="zh-CN"/>
        </w:rPr>
        <w:t>机械设计及制造</w:t>
      </w:r>
      <w:r>
        <w:rPr>
          <w:rFonts w:hint="eastAsia" w:asciiTheme="minorEastAsia" w:hAnsiTheme="minorEastAsia"/>
          <w:color w:val="auto"/>
          <w:sz w:val="24"/>
          <w:szCs w:val="24"/>
        </w:rPr>
        <w:t>等专业技术技能，具备认知能力、合作能力、创新能力、职业能力等支撑终身发展、适应时代要求的关键能力，具有较强的就业创业能力，面向通用设备制造业、专用设备制造业机械工程技术人员、机械冷加工人员、机械设备装配人员等</w:t>
      </w:r>
      <w:r>
        <w:rPr>
          <w:rFonts w:hint="eastAsia" w:asciiTheme="minorEastAsia" w:hAnsiTheme="minorEastAsia"/>
          <w:color w:val="auto"/>
          <w:sz w:val="24"/>
          <w:szCs w:val="24"/>
          <w:lang w:eastAsia="zh-CN"/>
        </w:rPr>
        <w:t>职业</w:t>
      </w:r>
      <w:r>
        <w:rPr>
          <w:rFonts w:hint="eastAsia" w:asciiTheme="minorEastAsia" w:hAnsiTheme="minorEastAsia"/>
          <w:color w:val="auto"/>
          <w:sz w:val="24"/>
          <w:szCs w:val="24"/>
        </w:rPr>
        <w:t>领域，能够从机械零部件制造与装配、机械加工工艺编制、工装设计、机电设备安装调试及维修、生产现场管理等工作的高素质技术技能人才。</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asciiTheme="minorEastAsia" w:hAnsiTheme="minorEastAsia"/>
          <w:b/>
          <w:color w:val="auto"/>
          <w:sz w:val="24"/>
          <w:szCs w:val="24"/>
        </w:rPr>
      </w:pPr>
      <w:r>
        <w:rPr>
          <w:rFonts w:hint="eastAsia" w:asciiTheme="minorEastAsia" w:hAnsiTheme="minorEastAsia"/>
          <w:b/>
          <w:color w:val="auto"/>
          <w:sz w:val="24"/>
          <w:szCs w:val="24"/>
        </w:rPr>
        <w:t>（二）培养规格</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rPr>
        <w:t>本专业毕业生应在素质、知识和能力方面达到以下要求。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1</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素质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坚定拥护中国共产党领导和我国社会主义制度，在习近平新时代中国特色社会主义思想指引下，践行社会主义核心价值观，具有深厚的爱国情感和中华民族自豪感；</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2</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崇尚宪法、遵法守纪、崇德向善、诚实守信、尊重生命、热爱劳动，履行道德准则和行为规范，具有社会责任感和社会参与意识；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3</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具有质量意识、环保意识、安全意识、信息素养、工匠精神、创新思维；</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4</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勇于奋斗、乐观向上，具有自我管理能力、职业生涯规划的意识，有较强的集体意识和团队合作精神；</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具有健康的体魄、心理和健全的人格，掌握基本运动知识和一两项运动技能，养成良好的健身与卫生习惯，良好的行为习惯；</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6</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具有一定的审美和人文素养，能够形成一两项艺术特长或爱好</w:t>
      </w:r>
      <w:r>
        <w:rPr>
          <w:rFonts w:hint="eastAsia" w:asciiTheme="minorEastAsia" w:hAnsiTheme="minorEastAsia"/>
          <w:color w:val="auto"/>
          <w:sz w:val="24"/>
          <w:szCs w:val="24"/>
          <w:lang w:eastAsia="zh-CN"/>
        </w:rPr>
        <w:t>。</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2</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掌握必备的思想政治理论、科学文化基础知识和中华优秀传统文化知识；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2）</w:t>
      </w:r>
      <w:r>
        <w:rPr>
          <w:rFonts w:hint="eastAsia" w:asciiTheme="minorEastAsia" w:hAnsiTheme="minorEastAsia"/>
          <w:color w:val="auto"/>
          <w:sz w:val="24"/>
          <w:szCs w:val="24"/>
        </w:rPr>
        <w:t>熟悉与本专业相关的法律法规以及环境保护、安全消防、文明生产等相关知识；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3</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掌握机械制图知识和公差配合知识；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4</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掌握常用金属材料的性能及应用知识和热加工基础知识；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掌握电工电子技术基础、机械设计基础、液压与气压传动知识；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6</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掌握金属切削刀具、量具和夹具的基本原理知识；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7</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熟悉常用机械加工设备的工作原理及结构等知识；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8</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掌握机械加工工艺编制与实施相关的基础知识；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9</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掌握数控加工手工编程和 CAD/CAM 自动编程的基本知识；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10</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了解数控机床电气控制原理知识；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11</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熟悉数控设备维护保养、故障诊断与维修基本知识；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12</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熟悉机械产品质量检测与控制知识。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3</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w:t>
      </w:r>
      <w:r>
        <w:rPr>
          <w:rFonts w:hint="eastAsia" w:asciiTheme="minorEastAsia" w:hAnsiTheme="minorEastAsia"/>
          <w:color w:val="auto"/>
          <w:sz w:val="24"/>
          <w:szCs w:val="24"/>
          <w:lang w:eastAsia="zh-CN"/>
        </w:rPr>
        <w:t>）具有探究学习、终身学习、分析问题和解决问题的能力；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2</w:t>
      </w:r>
      <w:r>
        <w:rPr>
          <w:rFonts w:hint="eastAsia" w:asciiTheme="minorEastAsia" w:hAnsiTheme="minorEastAsia"/>
          <w:color w:val="auto"/>
          <w:sz w:val="24"/>
          <w:szCs w:val="24"/>
          <w:lang w:eastAsia="zh-CN"/>
        </w:rPr>
        <w:t>）具有良好的语言、文字表达能力和沟通能力；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3</w:t>
      </w:r>
      <w:r>
        <w:rPr>
          <w:rFonts w:hint="eastAsia" w:asciiTheme="minorEastAsia" w:hAnsiTheme="minorEastAsia"/>
          <w:color w:val="auto"/>
          <w:sz w:val="24"/>
          <w:szCs w:val="24"/>
          <w:lang w:eastAsia="zh-CN"/>
        </w:rPr>
        <w:t>）具有本专业必需的信息技术应用和维护能力；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4</w:t>
      </w:r>
      <w:r>
        <w:rPr>
          <w:rFonts w:hint="eastAsia" w:asciiTheme="minorEastAsia" w:hAnsiTheme="minorEastAsia"/>
          <w:color w:val="auto"/>
          <w:sz w:val="24"/>
          <w:szCs w:val="24"/>
          <w:lang w:eastAsia="zh-CN"/>
        </w:rPr>
        <w:t>）能够识读各类机械零件图和装配图；</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lang w:eastAsia="zh-CN"/>
        </w:rPr>
        <w:t>）能够进行常用金属材料选用，成型方法和热处理方式选择；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6</w:t>
      </w:r>
      <w:r>
        <w:rPr>
          <w:rFonts w:hint="eastAsia" w:asciiTheme="minorEastAsia" w:hAnsiTheme="minorEastAsia"/>
          <w:color w:val="auto"/>
          <w:sz w:val="24"/>
          <w:szCs w:val="24"/>
          <w:lang w:eastAsia="zh-CN"/>
        </w:rPr>
        <w:t>）能够进行普通金属切削机床、刀具、量具和夹具的正确选用和使用；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7</w:t>
      </w:r>
      <w:r>
        <w:rPr>
          <w:rFonts w:hint="eastAsia" w:asciiTheme="minorEastAsia" w:hAnsiTheme="minorEastAsia"/>
          <w:color w:val="auto"/>
          <w:sz w:val="24"/>
          <w:szCs w:val="24"/>
          <w:lang w:eastAsia="zh-CN"/>
        </w:rPr>
        <w:t>）具有数控机床操作能力，能够熟练操作多轴数控机床，能够手工编制数控加工程序，能够使用一种常见 CAD/CAM 软件自动编制数控加工程序；</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8</w:t>
      </w:r>
      <w:r>
        <w:rPr>
          <w:rFonts w:hint="eastAsia" w:asciiTheme="minorEastAsia" w:hAnsiTheme="minorEastAsia"/>
          <w:color w:val="auto"/>
          <w:sz w:val="24"/>
          <w:szCs w:val="24"/>
          <w:lang w:eastAsia="zh-CN"/>
        </w:rPr>
        <w:t>）能够进行典型零件的机械加工工艺编制与实施；</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9</w:t>
      </w:r>
      <w:r>
        <w:rPr>
          <w:rFonts w:hint="eastAsia" w:asciiTheme="minorEastAsia" w:hAnsiTheme="minorEastAsia"/>
          <w:color w:val="auto"/>
          <w:sz w:val="24"/>
          <w:szCs w:val="24"/>
          <w:lang w:eastAsia="zh-CN"/>
        </w:rPr>
        <w:t>）具有产品质量检测及质量控制的基本能力；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10</w:t>
      </w:r>
      <w:r>
        <w:rPr>
          <w:rFonts w:hint="eastAsia" w:asciiTheme="minorEastAsia" w:hAnsiTheme="minorEastAsia"/>
          <w:color w:val="auto"/>
          <w:sz w:val="24"/>
          <w:szCs w:val="24"/>
          <w:lang w:eastAsia="zh-CN"/>
        </w:rPr>
        <w:t>）具有数控设备维护与保养的基本能力；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黑体" w:hAnsi="黑体" w:eastAsia="黑体"/>
          <w:b/>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11</w:t>
      </w:r>
      <w:r>
        <w:rPr>
          <w:rFonts w:hint="eastAsia" w:asciiTheme="minorEastAsia" w:hAnsiTheme="minorEastAsia"/>
          <w:color w:val="auto"/>
          <w:sz w:val="24"/>
          <w:szCs w:val="24"/>
          <w:lang w:eastAsia="zh-CN"/>
        </w:rPr>
        <w:t>）能够胜任生产现场的日常管理工作。</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hint="eastAsia" w:ascii="黑体" w:hAnsi="黑体" w:eastAsia="黑体"/>
          <w:b/>
          <w:color w:val="auto"/>
          <w:sz w:val="24"/>
          <w:szCs w:val="24"/>
          <w:lang w:eastAsia="zh-CN"/>
        </w:rPr>
      </w:pPr>
      <w:r>
        <w:rPr>
          <w:rFonts w:hint="eastAsia" w:ascii="黑体" w:hAnsi="黑体" w:eastAsia="黑体"/>
          <w:b/>
          <w:color w:val="auto"/>
          <w:sz w:val="24"/>
          <w:szCs w:val="24"/>
        </w:rPr>
        <w:t>六</w:t>
      </w:r>
      <w:r>
        <w:rPr>
          <w:rFonts w:ascii="黑体" w:hAnsi="黑体" w:eastAsia="黑体"/>
          <w:b/>
          <w:color w:val="auto"/>
          <w:sz w:val="24"/>
          <w:szCs w:val="24"/>
        </w:rPr>
        <w:t>、课程设置</w:t>
      </w:r>
      <w:r>
        <w:rPr>
          <w:rFonts w:hint="eastAsia" w:ascii="黑体" w:hAnsi="黑体" w:eastAsia="黑体"/>
          <w:b/>
          <w:color w:val="auto"/>
          <w:sz w:val="24"/>
          <w:szCs w:val="24"/>
          <w:lang w:eastAsia="zh-CN"/>
        </w:rPr>
        <w:t>及学时安排</w:t>
      </w:r>
    </w:p>
    <w:p>
      <w:pPr>
        <w:keepNext w:val="0"/>
        <w:keepLines w:val="0"/>
        <w:pageBreakBefore w:val="0"/>
        <w:widowControl/>
        <w:kinsoku/>
        <w:wordWrap/>
        <w:overflowPunct/>
        <w:topLinePunct w:val="0"/>
        <w:autoSpaceDE/>
        <w:autoSpaceDN/>
        <w:bidi w:val="0"/>
        <w:snapToGrid/>
        <w:spacing w:line="360" w:lineRule="auto"/>
        <w:ind w:firstLine="482" w:firstLineChars="200"/>
        <w:jc w:val="left"/>
        <w:textAlignment w:val="auto"/>
        <w:rPr>
          <w:rFonts w:hint="eastAsia" w:asciiTheme="minorEastAsia" w:hAnsiTheme="minorEastAsia"/>
          <w:b/>
          <w:color w:val="auto"/>
          <w:sz w:val="24"/>
          <w:szCs w:val="24"/>
          <w:lang w:eastAsia="zh-CN"/>
        </w:rPr>
      </w:pPr>
      <w:r>
        <w:rPr>
          <w:rFonts w:hint="eastAsia" w:asciiTheme="minorEastAsia" w:hAnsiTheme="minorEastAsia"/>
          <w:b/>
          <w:color w:val="auto"/>
          <w:sz w:val="24"/>
          <w:szCs w:val="24"/>
          <w:lang w:eastAsia="zh-CN"/>
        </w:rPr>
        <w:t>（一）课程设置</w:t>
      </w:r>
    </w:p>
    <w:p>
      <w:pPr>
        <w:keepNext w:val="0"/>
        <w:keepLines w:val="0"/>
        <w:pageBreakBefore w:val="0"/>
        <w:widowControl/>
        <w:kinsoku/>
        <w:wordWrap/>
        <w:overflowPunct/>
        <w:topLinePunct w:val="0"/>
        <w:autoSpaceDE/>
        <w:autoSpaceDN/>
        <w:bidi w:val="0"/>
        <w:snapToGrid/>
        <w:spacing w:line="360" w:lineRule="auto"/>
        <w:ind w:firstLine="480" w:firstLineChars="200"/>
        <w:jc w:val="left"/>
        <w:textAlignment w:val="auto"/>
        <w:rPr>
          <w:rFonts w:ascii="宋体" w:hAnsi="宋体" w:eastAsia="宋体" w:cs="宋体"/>
          <w:b w:val="0"/>
          <w:bCs/>
          <w:color w:val="auto"/>
          <w:kern w:val="0"/>
          <w:sz w:val="24"/>
          <w:szCs w:val="24"/>
        </w:rPr>
      </w:pPr>
      <w:r>
        <w:rPr>
          <w:rFonts w:hint="eastAsia" w:ascii="宋体" w:hAnsi="宋体" w:eastAsia="宋体" w:cs="宋体"/>
          <w:b w:val="0"/>
          <w:bCs/>
          <w:color w:val="auto"/>
          <w:kern w:val="0"/>
          <w:sz w:val="24"/>
          <w:szCs w:val="24"/>
          <w:lang w:eastAsia="zh-CN"/>
        </w:rPr>
        <w:t>本专业课程</w:t>
      </w:r>
      <w:r>
        <w:rPr>
          <w:rFonts w:hint="eastAsia" w:ascii="宋体" w:hAnsi="宋体" w:eastAsia="宋体" w:cs="宋体"/>
          <w:b w:val="0"/>
          <w:bCs/>
          <w:color w:val="auto"/>
          <w:kern w:val="0"/>
          <w:sz w:val="24"/>
          <w:szCs w:val="24"/>
        </w:rPr>
        <w:t>主要包括公共基础课</w:t>
      </w:r>
      <w:r>
        <w:rPr>
          <w:rFonts w:hint="eastAsia" w:ascii="宋体" w:hAnsi="宋体" w:eastAsia="宋体" w:cs="宋体"/>
          <w:b w:val="0"/>
          <w:bCs/>
          <w:color w:val="auto"/>
          <w:kern w:val="0"/>
          <w:sz w:val="24"/>
          <w:szCs w:val="24"/>
          <w:lang w:eastAsia="zh-CN"/>
        </w:rPr>
        <w:t>和</w:t>
      </w:r>
      <w:r>
        <w:rPr>
          <w:rFonts w:hint="eastAsia" w:ascii="宋体" w:hAnsi="宋体" w:eastAsia="宋体" w:cs="宋体"/>
          <w:b w:val="0"/>
          <w:bCs/>
          <w:color w:val="auto"/>
          <w:kern w:val="0"/>
          <w:sz w:val="24"/>
          <w:szCs w:val="24"/>
        </w:rPr>
        <w:t>专业（技能）课。</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asciiTheme="minorEastAsia" w:hAnsiTheme="minorEastAsia"/>
          <w:b/>
          <w:color w:val="auto"/>
          <w:sz w:val="24"/>
          <w:szCs w:val="24"/>
        </w:rPr>
      </w:pPr>
      <w:r>
        <w:rPr>
          <w:rFonts w:hint="eastAsia" w:asciiTheme="minorEastAsia" w:hAnsiTheme="minorEastAsia"/>
          <w:b/>
          <w:color w:val="auto"/>
          <w:sz w:val="24"/>
          <w:szCs w:val="24"/>
          <w:lang w:val="en-US" w:eastAsia="zh-CN"/>
        </w:rPr>
        <w:t>1、</w:t>
      </w:r>
      <w:r>
        <w:rPr>
          <w:rFonts w:hint="eastAsia" w:asciiTheme="minorEastAsia" w:hAnsiTheme="minorEastAsia"/>
          <w:b/>
          <w:color w:val="auto"/>
          <w:sz w:val="24"/>
          <w:szCs w:val="24"/>
        </w:rPr>
        <w:t>公共基础课</w:t>
      </w:r>
    </w:p>
    <w:p>
      <w:pPr>
        <w:keepNext w:val="0"/>
        <w:keepLines w:val="0"/>
        <w:pageBreakBefore w:val="0"/>
        <w:widowControl/>
        <w:kinsoku/>
        <w:wordWrap/>
        <w:overflowPunct/>
        <w:topLinePunct w:val="0"/>
        <w:autoSpaceDE/>
        <w:autoSpaceDN/>
        <w:bidi w:val="0"/>
        <w:snapToGrid/>
        <w:spacing w:line="360" w:lineRule="auto"/>
        <w:ind w:firstLine="482" w:firstLineChars="200"/>
        <w:jc w:val="left"/>
        <w:textAlignment w:val="auto"/>
        <w:rPr>
          <w:rFonts w:asciiTheme="minorEastAsia" w:hAnsiTheme="minorEastAsia"/>
          <w:b/>
          <w:color w:val="auto"/>
          <w:sz w:val="24"/>
          <w:szCs w:val="24"/>
        </w:rPr>
      </w:pPr>
      <w:r>
        <w:rPr>
          <w:rFonts w:hint="eastAsia" w:asciiTheme="minorEastAsia" w:hAnsiTheme="minorEastAsia"/>
          <w:b/>
          <w:color w:val="auto"/>
          <w:sz w:val="24"/>
          <w:szCs w:val="24"/>
          <w:lang w:val="en-US" w:eastAsia="zh-CN"/>
        </w:rPr>
        <w:t>1、</w:t>
      </w:r>
      <w:r>
        <w:rPr>
          <w:rFonts w:hint="eastAsia" w:asciiTheme="minorEastAsia" w:hAnsiTheme="minorEastAsia"/>
          <w:b/>
          <w:color w:val="auto"/>
          <w:sz w:val="24"/>
          <w:szCs w:val="24"/>
        </w:rPr>
        <w:t>公共基础课</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b/>
          <w:color w:val="auto"/>
          <w:sz w:val="30"/>
          <w:szCs w:val="30"/>
        </w:rPr>
        <w:t xml:space="preserve"> </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w:t>
      </w:r>
      <w:r>
        <w:rPr>
          <w:rFonts w:hint="eastAsia" w:ascii="宋体" w:hAnsi="宋体" w:eastAsia="宋体" w:cs="宋体"/>
          <w:b/>
          <w:color w:val="auto"/>
          <w:kern w:val="0"/>
          <w:sz w:val="24"/>
          <w:szCs w:val="24"/>
        </w:rPr>
        <w:t>高职应用数学</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outlineLvl w:val="0"/>
        <w:rPr>
          <w:rFonts w:hint="eastAsia" w:ascii="宋体" w:hAnsi="宋体" w:eastAsia="宋体" w:cs="宋体"/>
          <w:b w:val="0"/>
          <w:bCs/>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b w:val="0"/>
          <w:bCs/>
          <w:color w:val="auto"/>
          <w:sz w:val="24"/>
          <w:szCs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keepNext w:val="0"/>
        <w:keepLines w:val="0"/>
        <w:pageBreakBefore w:val="0"/>
        <w:widowControl w:val="0"/>
        <w:tabs>
          <w:tab w:val="left" w:pos="2655"/>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2</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高职实用英语</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Pr>
          <w:rFonts w:hint="eastAsia" w:ascii="宋体" w:hAnsi="宋体" w:eastAsia="宋体" w:cs="宋体"/>
          <w:color w:val="auto"/>
          <w:sz w:val="24"/>
          <w:szCs w:val="24"/>
        </w:rPr>
        <w:t>提高学生英语综合应用能力，特别是听说能力，使他们在今后工作和社会交往中能用英语有效地进行口头和书面的信息交流，</w:t>
      </w:r>
      <w:r>
        <w:rPr>
          <w:rFonts w:hint="eastAsia" w:ascii="宋体" w:hAnsi="宋体" w:eastAsia="宋体" w:cs="宋体"/>
          <w:color w:val="auto"/>
          <w:kern w:val="0"/>
          <w:sz w:val="24"/>
          <w:szCs w:val="24"/>
        </w:rPr>
        <w:t>能够借助词典阅读和翻译与专业相关的简单英语资料，以满足学生在今后工作中的需要，并能够</w:t>
      </w:r>
      <w:r>
        <w:rPr>
          <w:rFonts w:hint="eastAsia" w:ascii="宋体" w:hAnsi="宋体" w:eastAsia="宋体" w:cs="宋体"/>
          <w:color w:val="auto"/>
          <w:sz w:val="24"/>
          <w:szCs w:val="24"/>
        </w:rPr>
        <w:t>增强自主学习能力、提高综合文化素养，以适应我国经济发展和国家交流的需要。</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kern w:val="0"/>
          <w:sz w:val="24"/>
          <w:szCs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kern w:val="0"/>
          <w:sz w:val="24"/>
          <w:szCs w:val="24"/>
        </w:rPr>
        <w:t>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计算机应用基础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4</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思想道德修养与法律基础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keepNext w:val="0"/>
        <w:keepLines w:val="0"/>
        <w:pageBreakBefore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5</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毛泽东思想和中国特色社会主义理论体系概论</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教师应努力引导学生正确认识中国的基本国情和社会主义建设的客观规律，</w:t>
      </w:r>
      <w:r>
        <w:rPr>
          <w:rFonts w:hint="eastAsia" w:ascii="宋体" w:hAnsi="宋体" w:eastAsia="宋体" w:cs="宋体"/>
          <w:color w:val="auto"/>
          <w:kern w:val="0"/>
          <w:sz w:val="24"/>
          <w:szCs w:val="24"/>
        </w:rPr>
        <w:t>教学过程中</w:t>
      </w:r>
      <w:r>
        <w:rPr>
          <w:rFonts w:hint="eastAsia" w:ascii="宋体" w:hAnsi="宋体" w:eastAsia="宋体" w:cs="宋体"/>
          <w:color w:val="auto"/>
          <w:sz w:val="24"/>
          <w:szCs w:val="24"/>
        </w:rPr>
        <w:t>坚持以</w:t>
      </w:r>
      <w:r>
        <w:rPr>
          <w:rFonts w:hint="eastAsia" w:ascii="宋体" w:hAnsi="宋体" w:eastAsia="宋体" w:cs="宋体"/>
          <w:color w:val="auto"/>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eastAsia="宋体" w:cs="宋体"/>
          <w:color w:val="auto"/>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keepNext w:val="0"/>
        <w:keepLines w:val="0"/>
        <w:pageBreakBefore w:val="0"/>
        <w:kinsoku/>
        <w:wordWrap/>
        <w:overflowPunct/>
        <w:topLinePunct w:val="0"/>
        <w:autoSpaceDE/>
        <w:autoSpaceDN/>
        <w:bidi w:val="0"/>
        <w:adjustRightInd/>
        <w:snapToGrid/>
        <w:spacing w:line="360" w:lineRule="auto"/>
        <w:ind w:firstLine="241" w:firstLineChars="100"/>
        <w:jc w:val="both"/>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val="en-US" w:eastAsia="zh-CN"/>
        </w:rPr>
        <w:t>（6</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创新创业基础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学习本课程，重点掌握基本的创新思维，熟悉主要的创新方法，了解新时代热门的新技术。立足本专业，学习专业知识，立志做一个具有工匠精神和创新精神的人——岗位创业者。</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7</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大学生心理健康教育</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 +”平台和手段，提升教学效果。</w:t>
      </w:r>
    </w:p>
    <w:p>
      <w:pPr>
        <w:keepNext w:val="0"/>
        <w:keepLines w:val="0"/>
        <w:pageBreakBefore w:val="0"/>
        <w:widowControl/>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大学生职业生涯规划与就业指导</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 xml:space="preserve">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通过对该课程的学习使学生以</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"https://baike.sogou.com/lemma/ShowInnerLink.htm?lemmaId=300085&amp;ss_c=ssc.citiao.link"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职业生涯规划</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的理论为基础，结合自身的心理特点与需求，联系自身</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"https://baike.sogou.com/lemma/ShowInnerLink.htm?lemmaId=424718&amp;ss_c=ssc.citiao.link"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widowControl/>
        <w:spacing w:line="360" w:lineRule="auto"/>
        <w:ind w:firstLine="482" w:firstLineChars="200"/>
        <w:jc w:val="left"/>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9</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专业英语</w:t>
      </w:r>
    </w:p>
    <w:p>
      <w:pPr>
        <w:spacing w:line="360" w:lineRule="auto"/>
        <w:ind w:firstLine="482" w:firstLineChars="200"/>
        <w:rPr>
          <w:rFonts w:hint="eastAsia" w:ascii="宋体" w:hAnsi="宋体" w:cs="宋体"/>
          <w:color w:val="auto"/>
          <w:kern w:val="0"/>
          <w:sz w:val="24"/>
        </w:rPr>
      </w:pPr>
      <w:r>
        <w:rPr>
          <w:b/>
          <w:color w:val="auto"/>
          <w:sz w:val="24"/>
        </w:rPr>
        <w:t>课程目标</w:t>
      </w:r>
      <w:r>
        <w:rPr>
          <w:rFonts w:hint="eastAsia"/>
          <w:b/>
          <w:color w:val="auto"/>
          <w:sz w:val="24"/>
        </w:rPr>
        <w:t>：</w:t>
      </w:r>
      <w:r>
        <w:rPr>
          <w:rFonts w:hint="eastAsia" w:ascii="宋体" w:hAnsi="宋体" w:cs="宋体"/>
          <w:color w:val="auto"/>
          <w:kern w:val="0"/>
          <w:sz w:val="24"/>
        </w:rPr>
        <w:t>本课程主要教学对象为高职高专三年制机电一体化技术、机械制造技术等专业的学生。旨在引导大高职高专学生通过学习</w:t>
      </w:r>
      <w:r>
        <w:rPr>
          <w:rFonts w:ascii="宋体" w:hAnsi="宋体" w:cs="宋体"/>
          <w:color w:val="auto"/>
          <w:kern w:val="0"/>
          <w:sz w:val="24"/>
        </w:rPr>
        <w:t>相关的</w:t>
      </w:r>
      <w:r>
        <w:rPr>
          <w:rFonts w:hint="eastAsia" w:ascii="宋体" w:hAnsi="宋体" w:cs="宋体"/>
          <w:color w:val="auto"/>
          <w:kern w:val="0"/>
          <w:sz w:val="24"/>
        </w:rPr>
        <w:t>专业</w:t>
      </w:r>
      <w:r>
        <w:rPr>
          <w:rFonts w:ascii="宋体" w:hAnsi="宋体" w:cs="宋体"/>
          <w:color w:val="auto"/>
          <w:kern w:val="0"/>
          <w:sz w:val="24"/>
        </w:rPr>
        <w:t>词汇和词组</w:t>
      </w:r>
      <w:r>
        <w:rPr>
          <w:rFonts w:hint="eastAsia" w:ascii="宋体" w:hAnsi="宋体" w:cs="宋体"/>
          <w:color w:val="auto"/>
          <w:kern w:val="0"/>
          <w:sz w:val="24"/>
        </w:rPr>
        <w:t>的英文表达，让自己具备一定的阅读专业英语资料和获取专业相关英文信息的语言交际能力，</w:t>
      </w:r>
      <w:r>
        <w:rPr>
          <w:rFonts w:ascii="宋体" w:hAnsi="宋体" w:cs="宋体"/>
          <w:color w:val="auto"/>
          <w:kern w:val="0"/>
          <w:sz w:val="24"/>
        </w:rPr>
        <w:t>为在</w:t>
      </w:r>
      <w:r>
        <w:rPr>
          <w:rFonts w:hint="eastAsia" w:ascii="宋体" w:hAnsi="宋体" w:cs="宋体"/>
          <w:color w:val="auto"/>
          <w:kern w:val="0"/>
          <w:sz w:val="24"/>
        </w:rPr>
        <w:t>国际化</w:t>
      </w:r>
      <w:r>
        <w:rPr>
          <w:rFonts w:ascii="宋体" w:hAnsi="宋体" w:cs="宋体"/>
          <w:color w:val="auto"/>
          <w:kern w:val="0"/>
          <w:sz w:val="24"/>
        </w:rPr>
        <w:t>工作</w:t>
      </w:r>
      <w:r>
        <w:rPr>
          <w:rFonts w:hint="eastAsia" w:ascii="宋体" w:hAnsi="宋体" w:cs="宋体"/>
          <w:color w:val="auto"/>
          <w:kern w:val="0"/>
          <w:sz w:val="24"/>
        </w:rPr>
        <w:t>大背景下</w:t>
      </w:r>
      <w:r>
        <w:rPr>
          <w:rFonts w:ascii="宋体" w:hAnsi="宋体" w:cs="宋体"/>
          <w:color w:val="auto"/>
          <w:kern w:val="0"/>
          <w:sz w:val="24"/>
        </w:rPr>
        <w:t>查阅和</w:t>
      </w:r>
      <w:r>
        <w:rPr>
          <w:rFonts w:hint="eastAsia" w:ascii="宋体" w:hAnsi="宋体" w:cs="宋体"/>
          <w:color w:val="auto"/>
          <w:kern w:val="0"/>
          <w:sz w:val="24"/>
        </w:rPr>
        <w:t>阅读专业相关</w:t>
      </w:r>
      <w:r>
        <w:rPr>
          <w:rFonts w:ascii="宋体" w:hAnsi="宋体" w:cs="宋体"/>
          <w:color w:val="auto"/>
          <w:kern w:val="0"/>
          <w:sz w:val="24"/>
        </w:rPr>
        <w:t>英文资料奠定基础。</w:t>
      </w:r>
    </w:p>
    <w:p>
      <w:pPr>
        <w:spacing w:line="360" w:lineRule="auto"/>
        <w:ind w:firstLine="482" w:firstLineChars="200"/>
        <w:rPr>
          <w:rFonts w:hint="eastAsia" w:ascii="宋体" w:hAnsi="宋体" w:cs="宋体"/>
          <w:color w:val="auto"/>
          <w:kern w:val="0"/>
          <w:sz w:val="24"/>
        </w:rPr>
      </w:pPr>
      <w:r>
        <w:rPr>
          <w:rFonts w:ascii="宋体" w:hAnsi="宋体"/>
          <w:b/>
          <w:color w:val="auto"/>
          <w:sz w:val="24"/>
        </w:rPr>
        <w:t>主要内容</w:t>
      </w:r>
      <w:r>
        <w:rPr>
          <w:rFonts w:hint="eastAsia" w:ascii="宋体" w:hAnsi="宋体"/>
          <w:b/>
          <w:color w:val="auto"/>
          <w:sz w:val="24"/>
        </w:rPr>
        <w:t>：</w:t>
      </w:r>
      <w:r>
        <w:rPr>
          <w:rFonts w:hint="eastAsia" w:ascii="宋体" w:hAnsi="宋体" w:cs="宋体"/>
          <w:color w:val="auto"/>
          <w:kern w:val="0"/>
          <w:sz w:val="24"/>
        </w:rPr>
        <w:t>本课程共分为8个模块，系统介绍机电一体化等专业中</w:t>
      </w:r>
      <w:r>
        <w:rPr>
          <w:rFonts w:ascii="宋体" w:hAnsi="宋体" w:cs="宋体"/>
          <w:color w:val="auto"/>
          <w:kern w:val="0"/>
          <w:sz w:val="24"/>
        </w:rPr>
        <w:t>相关的各个知识点</w:t>
      </w:r>
      <w:r>
        <w:rPr>
          <w:rFonts w:hint="eastAsia" w:ascii="宋体" w:hAnsi="宋体" w:cs="宋体"/>
          <w:color w:val="auto"/>
          <w:kern w:val="0"/>
          <w:sz w:val="24"/>
        </w:rPr>
        <w:t>：</w:t>
      </w:r>
      <w:r>
        <w:rPr>
          <w:rFonts w:hint="eastAsia" w:ascii="宋体"/>
          <w:color w:val="auto"/>
          <w:sz w:val="24"/>
        </w:rPr>
        <w:t>Introduction of Electromechanical Industry</w:t>
      </w:r>
      <w:r>
        <w:rPr>
          <w:rFonts w:hint="eastAsia" w:ascii="宋体" w:hAnsi="宋体" w:cs="宋体"/>
          <w:color w:val="auto"/>
          <w:kern w:val="0"/>
          <w:sz w:val="24"/>
        </w:rPr>
        <w:t>，</w:t>
      </w:r>
      <w:r>
        <w:rPr>
          <w:rFonts w:hint="eastAsia" w:ascii="宋体"/>
          <w:color w:val="auto"/>
          <w:sz w:val="24"/>
        </w:rPr>
        <w:t>Introduction of Automobile Market</w:t>
      </w:r>
      <w:r>
        <w:rPr>
          <w:rFonts w:hint="eastAsia" w:ascii="宋体" w:hAnsi="宋体" w:cs="宋体"/>
          <w:color w:val="auto"/>
          <w:kern w:val="0"/>
          <w:sz w:val="24"/>
        </w:rPr>
        <w:t>，</w:t>
      </w:r>
      <w:r>
        <w:rPr>
          <w:rFonts w:hint="eastAsia" w:ascii="宋体"/>
          <w:color w:val="auto"/>
          <w:sz w:val="24"/>
        </w:rPr>
        <w:t>The Automobile Manufacturing Process</w:t>
      </w:r>
      <w:r>
        <w:rPr>
          <w:rFonts w:hint="eastAsia" w:ascii="宋体" w:hAnsi="宋体" w:cs="宋体"/>
          <w:color w:val="auto"/>
          <w:kern w:val="0"/>
          <w:sz w:val="24"/>
        </w:rPr>
        <w:t>，</w:t>
      </w:r>
      <w:r>
        <w:rPr>
          <w:rFonts w:hint="eastAsia" w:ascii="宋体"/>
          <w:color w:val="auto"/>
          <w:sz w:val="24"/>
        </w:rPr>
        <w:t>Machine Tools</w:t>
      </w:r>
      <w:r>
        <w:rPr>
          <w:rFonts w:hint="eastAsia" w:ascii="宋体" w:hAnsi="宋体" w:cs="宋体"/>
          <w:color w:val="auto"/>
          <w:kern w:val="0"/>
          <w:sz w:val="24"/>
        </w:rPr>
        <w:t>，</w:t>
      </w:r>
      <w:r>
        <w:rPr>
          <w:rFonts w:hint="eastAsia" w:ascii="宋体"/>
          <w:color w:val="auto"/>
          <w:sz w:val="24"/>
        </w:rPr>
        <w:t>Computer Information Techniques &amp; Manufacturing Industry</w:t>
      </w:r>
      <w:r>
        <w:rPr>
          <w:rFonts w:hint="eastAsia" w:ascii="宋体" w:hAnsi="宋体" w:cs="宋体"/>
          <w:color w:val="auto"/>
          <w:kern w:val="0"/>
          <w:sz w:val="24"/>
        </w:rPr>
        <w:t>，</w:t>
      </w:r>
      <w:r>
        <w:rPr>
          <w:rFonts w:hint="eastAsia" w:ascii="宋体"/>
          <w:color w:val="auto"/>
          <w:sz w:val="24"/>
        </w:rPr>
        <w:t>The Assembly of Automobile</w:t>
      </w:r>
      <w:r>
        <w:rPr>
          <w:rFonts w:hint="eastAsia" w:ascii="宋体" w:hAnsi="宋体" w:cs="宋体"/>
          <w:color w:val="auto"/>
          <w:kern w:val="0"/>
          <w:sz w:val="24"/>
        </w:rPr>
        <w:t>，</w:t>
      </w:r>
      <w:r>
        <w:rPr>
          <w:rFonts w:hint="eastAsia" w:ascii="宋体"/>
          <w:color w:val="auto"/>
          <w:sz w:val="24"/>
        </w:rPr>
        <w:t>Electrical and Electronic Technology</w:t>
      </w:r>
      <w:r>
        <w:rPr>
          <w:rFonts w:hint="eastAsia" w:ascii="宋体" w:hAnsi="宋体" w:cs="宋体"/>
          <w:color w:val="auto"/>
          <w:kern w:val="0"/>
          <w:sz w:val="24"/>
        </w:rPr>
        <w:t>，</w:t>
      </w:r>
      <w:r>
        <w:rPr>
          <w:rFonts w:hint="eastAsia" w:ascii="宋体"/>
          <w:color w:val="auto"/>
          <w:sz w:val="24"/>
        </w:rPr>
        <w:t>Intelligent Robots</w:t>
      </w:r>
      <w:r>
        <w:rPr>
          <w:rFonts w:hint="eastAsia" w:ascii="宋体" w:hAnsi="宋体" w:cs="宋体"/>
          <w:color w:val="auto"/>
          <w:kern w:val="0"/>
          <w:sz w:val="24"/>
        </w:rPr>
        <w:t xml:space="preserve">，每个知识点分为八个部分:词汇风暴、听说、阅读、补充阅读、语法、知识拓展、看图识词和综合练习。 </w:t>
      </w:r>
    </w:p>
    <w:p>
      <w:pPr>
        <w:spacing w:line="360" w:lineRule="auto"/>
        <w:ind w:firstLine="482" w:firstLineChars="200"/>
        <w:rPr>
          <w:rFonts w:hint="eastAsia" w:ascii="宋体"/>
          <w:color w:val="auto"/>
          <w:sz w:val="24"/>
        </w:rPr>
      </w:pPr>
      <w:r>
        <w:rPr>
          <w:rFonts w:ascii="宋体" w:hAnsi="宋体"/>
          <w:b/>
          <w:color w:val="auto"/>
          <w:sz w:val="24"/>
        </w:rPr>
        <w:t>教学要求</w:t>
      </w:r>
      <w:r>
        <w:rPr>
          <w:rFonts w:hint="eastAsia" w:ascii="宋体" w:hAnsi="宋体"/>
          <w:b/>
          <w:color w:val="auto"/>
          <w:sz w:val="24"/>
        </w:rPr>
        <w:t>：</w:t>
      </w:r>
      <w:r>
        <w:rPr>
          <w:rFonts w:hint="eastAsia" w:ascii="宋体"/>
          <w:color w:val="auto"/>
          <w:sz w:val="24"/>
        </w:rPr>
        <w:t>专业英语以学科知识为重点，培养学生的运行进口设备时识读屏幕原文信息的能力。通过本课程的学习，学生能习得专业相关的术语，看懂本专业相关的简短器械英语，能够通过文章的学习具备分析简短专业英文的资料。</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10</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实用应用文写作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11</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沟通与交流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 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12</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形势与政策</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Style w:val="14"/>
          <w:rFonts w:hint="eastAsia" w:ascii="宋体" w:hAnsi="宋体" w:eastAsia="宋体" w:cs="宋体"/>
          <w:color w:val="auto"/>
          <w:sz w:val="24"/>
          <w:szCs w:val="24"/>
        </w:rPr>
        <w:t>课程目标：</w:t>
      </w:r>
      <w:r>
        <w:rPr>
          <w:rFonts w:hint="eastAsia" w:ascii="宋体" w:hAnsi="宋体" w:eastAsia="宋体" w:cs="宋体"/>
          <w:color w:val="auto"/>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w:t>
      </w:r>
      <w:r>
        <w:rPr>
          <w:rFonts w:hint="eastAsia" w:ascii="宋体" w:hAnsi="宋体" w:eastAsia="宋体" w:cs="宋体"/>
          <w:color w:val="auto"/>
          <w:sz w:val="24"/>
          <w:szCs w:val="24"/>
        </w:rPr>
        <w:t>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Style w:val="14"/>
          <w:rFonts w:hint="eastAsia" w:ascii="宋体" w:hAnsi="宋体" w:eastAsia="宋体" w:cs="宋体"/>
          <w:color w:val="auto"/>
          <w:sz w:val="24"/>
          <w:szCs w:val="24"/>
        </w:rPr>
        <w:t>教学内容：</w:t>
      </w:r>
      <w:r>
        <w:rPr>
          <w:rFonts w:hint="eastAsia" w:ascii="宋体" w:hAnsi="宋体" w:eastAsia="宋体" w:cs="宋体"/>
          <w:color w:val="auto"/>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Theme="minorEastAsia" w:hAnsiTheme="minorEastAsia"/>
          <w:b/>
          <w:color w:val="auto"/>
          <w:sz w:val="24"/>
          <w:szCs w:val="24"/>
          <w:lang w:val="en-US" w:eastAsia="zh-CN"/>
        </w:rPr>
      </w:pPr>
      <w:r>
        <w:rPr>
          <w:rStyle w:val="14"/>
          <w:rFonts w:hint="eastAsia" w:ascii="宋体" w:hAnsi="宋体" w:eastAsia="宋体" w:cs="宋体"/>
          <w:color w:val="auto"/>
          <w:sz w:val="24"/>
          <w:szCs w:val="24"/>
        </w:rPr>
        <w:t>教学要求：</w:t>
      </w:r>
      <w:r>
        <w:rPr>
          <w:rFonts w:hint="eastAsia" w:ascii="宋体" w:hAnsi="宋体" w:eastAsia="宋体" w:cs="宋体"/>
          <w:color w:val="auto"/>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widowControl/>
        <w:spacing w:line="360" w:lineRule="auto"/>
        <w:ind w:firstLine="480" w:firstLineChars="200"/>
        <w:jc w:val="left"/>
        <w:rPr>
          <w:rFonts w:hint="eastAsia" w:ascii="宋体"/>
          <w:color w:val="auto"/>
          <w:sz w:val="24"/>
          <w:lang w:val="en-US" w:eastAsia="zh-CN"/>
        </w:rPr>
      </w:pP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2、</w:t>
      </w:r>
      <w:r>
        <w:rPr>
          <w:rFonts w:hint="eastAsia" w:ascii="宋体" w:hAnsi="宋体" w:eastAsia="宋体" w:cs="宋体"/>
          <w:b/>
          <w:color w:val="auto"/>
          <w:sz w:val="24"/>
          <w:szCs w:val="24"/>
        </w:rPr>
        <w:t>专业（技能）课程</w:t>
      </w:r>
    </w:p>
    <w:p>
      <w:pPr>
        <w:pStyle w:val="27"/>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b/>
          <w:bCs/>
          <w:color w:val="auto"/>
          <w:kern w:val="0"/>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w:t>
      </w:r>
      <w:r>
        <w:rPr>
          <w:rFonts w:hint="eastAsia" w:ascii="宋体" w:hAnsi="宋体" w:eastAsia="宋体" w:cs="宋体"/>
          <w:b/>
          <w:color w:val="auto"/>
          <w:sz w:val="24"/>
          <w:szCs w:val="24"/>
          <w:lang w:eastAsia="zh-CN"/>
        </w:rPr>
        <w:t>）机械制图</w:t>
      </w:r>
    </w:p>
    <w:p>
      <w:pPr>
        <w:pStyle w:val="27"/>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auto"/>
          <w:kern w:val="0"/>
          <w:sz w:val="24"/>
          <w:szCs w:val="24"/>
        </w:rPr>
        <w:t>课程目标：</w:t>
      </w:r>
      <w:r>
        <w:rPr>
          <w:rFonts w:hint="eastAsia" w:ascii="宋体" w:hAnsi="宋体" w:eastAsia="宋体" w:cs="宋体"/>
          <w:color w:val="auto"/>
          <w:sz w:val="24"/>
          <w:szCs w:val="24"/>
        </w:rPr>
        <w:t>通过本课程的学习使学生</w:t>
      </w:r>
      <w:r>
        <w:rPr>
          <w:rFonts w:hint="eastAsia" w:ascii="宋体" w:hAnsi="宋体" w:eastAsia="宋体" w:cs="宋体"/>
          <w:color w:val="auto"/>
          <w:kern w:val="0"/>
          <w:sz w:val="24"/>
          <w:szCs w:val="24"/>
        </w:rPr>
        <w:t>掌握投影法的基本理论、基本知识及其应用，熟悉机械制图有关国家标准和有关规定，培养学生的空间想象能力和构思能力，使学生具有绘制机械图样和阅读机械图样的能力，培养学生耐心细致的工作作风和严肃认真的工作态度。</w:t>
      </w:r>
    </w:p>
    <w:p>
      <w:pPr>
        <w:pStyle w:val="27"/>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auto"/>
          <w:kern w:val="0"/>
          <w:sz w:val="24"/>
          <w:szCs w:val="24"/>
        </w:rPr>
        <w:t>主要内容：</w:t>
      </w:r>
      <w:r>
        <w:rPr>
          <w:rFonts w:hint="eastAsia" w:ascii="宋体" w:hAnsi="宋体" w:eastAsia="宋体" w:cs="宋体"/>
          <w:color w:val="auto"/>
          <w:sz w:val="24"/>
          <w:szCs w:val="24"/>
          <w:lang w:eastAsia="zh-CN"/>
        </w:rPr>
        <w:t>本课程</w:t>
      </w:r>
      <w:r>
        <w:rPr>
          <w:rFonts w:hint="eastAsia" w:ascii="宋体" w:hAnsi="宋体" w:eastAsia="宋体" w:cs="宋体"/>
          <w:color w:val="auto"/>
          <w:sz w:val="24"/>
          <w:szCs w:val="24"/>
        </w:rPr>
        <w:t>主要讲授制图基本知识（机械制图有关国家标准、绘图工具及仪器的使用、几何作图等知识）；投影法及点、线、面的投影、基本体的投影、组合体的投影、轴测投影、图样的表达方法；常用零件和标准件的表达方法、零件图、装配图。</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kern w:val="0"/>
          <w:sz w:val="24"/>
          <w:szCs w:val="24"/>
        </w:rPr>
        <w:t>教学要求：</w:t>
      </w:r>
      <w:r>
        <w:rPr>
          <w:rFonts w:hint="eastAsia" w:ascii="宋体" w:hAnsi="宋体" w:eastAsia="宋体" w:cs="宋体"/>
          <w:color w:val="auto"/>
          <w:sz w:val="24"/>
          <w:szCs w:val="24"/>
          <w:lang w:val="en-US" w:eastAsia="zh-CN"/>
        </w:rPr>
        <w:t>通过本课程学习掌握机械制图基本知识、正投影法和三视图、轴侧投影、截交线、组合体、零件图和装配图的画法；掌握机械制图国家标准的相关规定；掌握有关零件尺寸公差配合、形状位置公差、表面粗糙度等的含义及标注方法；能够正确读和绘制零件图。</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kern w:val="0"/>
          <w:sz w:val="24"/>
          <w:szCs w:val="24"/>
          <w:lang w:val="en-US" w:eastAsia="zh-CN"/>
        </w:rPr>
      </w:pPr>
      <w:r>
        <w:rPr>
          <w:rFonts w:hint="eastAsia" w:ascii="宋体" w:hAnsi="宋体" w:eastAsia="宋体" w:cs="宋体"/>
          <w:b/>
          <w:color w:val="auto"/>
          <w:kern w:val="0"/>
          <w:sz w:val="24"/>
          <w:szCs w:val="24"/>
          <w:lang w:val="en-US" w:eastAsia="zh-CN"/>
        </w:rPr>
        <w:t>（2）</w:t>
      </w:r>
      <w:r>
        <w:rPr>
          <w:rFonts w:hint="eastAsia" w:ascii="宋体" w:hAnsi="宋体" w:eastAsia="宋体" w:cs="宋体"/>
          <w:b/>
          <w:color w:val="auto"/>
          <w:kern w:val="0"/>
          <w:sz w:val="24"/>
          <w:szCs w:val="24"/>
        </w:rPr>
        <w:t>金属材料与成型工艺</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金属材料与成型工艺基础》是高等职业技术学院机械类和近机械类、加工等工程类各专业的技术基础课，具有丰富的理论性和实践性。是机械设计、机械制造、金属加工等专业课程的基础，也是学生将来从事机械、加工等技术工作、机械产品质量控制工作的基础。</w:t>
      </w:r>
    </w:p>
    <w:p>
      <w:pPr>
        <w:keepNext w:val="0"/>
        <w:keepLines w:val="0"/>
        <w:pageBreakBefore w:val="0"/>
        <w:kinsoku/>
        <w:wordWrap/>
        <w:overflowPunct/>
        <w:topLinePunct w:val="0"/>
        <w:autoSpaceDE/>
        <w:autoSpaceDN/>
        <w:bidi w:val="0"/>
        <w:adjustRightInd/>
        <w:snapToGrid/>
        <w:spacing w:line="360"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通过本课程的学习使学生对常用的金属材料和热加工工艺具有一定的认知能力，</w:t>
      </w:r>
      <w:r>
        <w:rPr>
          <w:rFonts w:hint="eastAsia" w:ascii="宋体" w:hAnsi="宋体" w:eastAsia="宋体" w:cs="宋体"/>
          <w:color w:val="auto"/>
          <w:sz w:val="24"/>
          <w:szCs w:val="24"/>
        </w:rPr>
        <w:t>使学生掌握常用金属材料的种类、性能及热处理的原理及应用方法，具有合理选择材料及合理安排热处理工序</w:t>
      </w:r>
      <w:r>
        <w:rPr>
          <w:rFonts w:hint="eastAsia" w:ascii="宋体" w:hAnsi="宋体" w:eastAsia="宋体" w:cs="宋体"/>
          <w:color w:val="auto"/>
          <w:sz w:val="24"/>
          <w:szCs w:val="24"/>
        </w:rPr>
        <w:t>的初步能力，通过学习培养学生发现问题、分析问题和解决问题的能力，使学生能将所学知识融会贯通，应用到实践中去，为今后从事生产技术工作奠定必要的基础。</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主要有两大部分内容：金属材料部分和有关热加工工艺基础部分；共分为六章，主要有金属学基础、钢铁材料基础、工程材料及应用、热加工工艺基础、机械零件选材及工艺路线分析等几方面。主要介绍金属材料的种类、性能及改性的方法、金属材料的应用、选材的原则及方法、主要加工工艺的方法等。以机械零件用材的“成分——组织——性能”之间的关系、变化规律为核心，重点突出金属材料的分类、性能、应用范围及钢的热处理的基本原理、常用材料的合理的选材及主要加工工艺。</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通过本课程的学习使学生</w:t>
      </w:r>
      <w:r>
        <w:rPr>
          <w:rFonts w:hint="eastAsia" w:ascii="宋体" w:hAnsi="宋体" w:eastAsia="宋体" w:cs="宋体"/>
          <w:color w:val="auto"/>
          <w:sz w:val="24"/>
          <w:szCs w:val="24"/>
        </w:rPr>
        <w:t>熟</w:t>
      </w:r>
      <w:r>
        <w:rPr>
          <w:rFonts w:hint="eastAsia" w:ascii="宋体" w:hAnsi="宋体" w:eastAsia="宋体" w:cs="宋体"/>
          <w:color w:val="auto"/>
          <w:sz w:val="24"/>
          <w:szCs w:val="24"/>
        </w:rPr>
        <w:t>练掌握金属材料的“成分——组织——性能”三者之间关系的一般规律；掌握常用金属材料的分类、性能、应用范围和选择原则；初步掌握钢热处理的基本原理及常用工艺的目的；熟悉金属材料主要加工工艺的方法、工艺性能及应用等有关金属材料的基本理论和基本知识；具有能根据机械零件的服役条件和性能要求正确合理地选用金属材料的初步能力。</w:t>
      </w:r>
    </w:p>
    <w:p>
      <w:pPr>
        <w:pStyle w:val="27"/>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AutoCAD</w:t>
      </w:r>
    </w:p>
    <w:p>
      <w:pPr>
        <w:pStyle w:val="27"/>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bCs/>
          <w:color w:val="auto"/>
          <w:kern w:val="0"/>
          <w:sz w:val="24"/>
          <w:szCs w:val="24"/>
        </w:rPr>
        <w:t>课程目标：</w:t>
      </w:r>
      <w:r>
        <w:rPr>
          <w:rFonts w:hint="eastAsia" w:ascii="宋体" w:hAnsi="宋体" w:eastAsia="宋体" w:cs="宋体"/>
          <w:color w:val="auto"/>
          <w:sz w:val="24"/>
          <w:szCs w:val="24"/>
          <w:lang w:eastAsia="zh-CN"/>
        </w:rPr>
        <w:t>通过</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课程的学习，使学生掌握</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的基本、灵活运用</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命令来绘制平面图形、掌握基本的建模方法，同时培养学生的空间想象能力与分析能力，按照以能力为本，以实践为主的要求，增强课程内容与职业岗位能力要求的关联性，提高学生的就业能力，培养学生耐心细致、一丝不苟的工作作风。</w:t>
      </w:r>
    </w:p>
    <w:p>
      <w:pPr>
        <w:pStyle w:val="27"/>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auto"/>
          <w:kern w:val="0"/>
          <w:sz w:val="24"/>
          <w:szCs w:val="24"/>
        </w:rPr>
        <w:t>主要内容：</w:t>
      </w:r>
      <w:r>
        <w:rPr>
          <w:rFonts w:hint="eastAsia" w:ascii="宋体" w:hAnsi="宋体" w:eastAsia="宋体" w:cs="宋体"/>
          <w:color w:val="auto"/>
          <w:sz w:val="24"/>
          <w:szCs w:val="24"/>
        </w:rPr>
        <w:t>以AutoCAD在机械行业中的应用为主线，根据行业企业发展需要、完成职业岗位实际工作任务所需要的知识、能力、素质要求和相应的职业资格标准，选取教学内容。主要的教学内容可分为CAD基础知识，绘图的基本设置，平面图形的绘制与编辑，文字、表格及尺寸标注，平面图形绘制综合应用，块的创建与使用，三维模型创建等七大模块。</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auto"/>
          <w:kern w:val="0"/>
          <w:sz w:val="24"/>
          <w:szCs w:val="24"/>
        </w:rPr>
        <w:t>教学要求：</w:t>
      </w:r>
      <w:r>
        <w:rPr>
          <w:rFonts w:hint="eastAsia" w:ascii="宋体" w:hAnsi="宋体" w:eastAsia="宋体" w:cs="宋体"/>
          <w:color w:val="auto"/>
          <w:sz w:val="24"/>
          <w:szCs w:val="24"/>
        </w:rPr>
        <w:t>通过该课程的学习掌握线、圆弧等基本绘图和编辑命令的操作，掌握文字与表格、尺寸标注、图块的使用，能进行零件图绘制、装配图绘制、图形输出等阅读分析零件图；能创建简单的三维模型；绘制出符合行业规范的图纸并能在打印机或绘图仪出图。 </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（4）互换性与测量技术</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2"/>
          <w:sz w:val="24"/>
          <w:szCs w:val="24"/>
          <w:lang w:val="en-US" w:eastAsia="zh-CN" w:bidi="ar-SA"/>
        </w:rPr>
        <w:t>《互换性与测量技术》是机械类和机电结合类各专业的职业基础课。</w:t>
      </w:r>
      <w:r>
        <w:rPr>
          <w:rFonts w:hint="eastAsia" w:ascii="宋体" w:hAnsi="宋体" w:eastAsia="宋体" w:cs="宋体"/>
          <w:color w:val="auto"/>
          <w:kern w:val="0"/>
          <w:sz w:val="24"/>
          <w:szCs w:val="24"/>
        </w:rPr>
        <w:t>通过学习，培养学生能够</w:t>
      </w:r>
      <w:r>
        <w:rPr>
          <w:rFonts w:hint="eastAsia" w:ascii="宋体" w:hAnsi="宋体" w:eastAsia="宋体" w:cs="宋体"/>
          <w:color w:val="auto"/>
          <w:kern w:val="2"/>
          <w:sz w:val="24"/>
          <w:szCs w:val="24"/>
          <w:lang w:val="en-US" w:eastAsia="zh-CN" w:bidi="ar-SA"/>
        </w:rPr>
        <w:t>获得互换性、标准化及测量技术方面的基本知识与一定的工作能力，</w:t>
      </w:r>
      <w:r>
        <w:rPr>
          <w:rFonts w:hint="eastAsia" w:ascii="宋体" w:hAnsi="宋体" w:eastAsia="宋体" w:cs="宋体"/>
          <w:color w:val="auto"/>
          <w:sz w:val="24"/>
          <w:szCs w:val="24"/>
        </w:rPr>
        <w:t>具备在</w:t>
      </w:r>
      <w:r>
        <w:rPr>
          <w:rFonts w:hint="eastAsia" w:ascii="宋体" w:hAnsi="宋体" w:eastAsia="宋体" w:cs="宋体"/>
          <w:color w:val="auto"/>
          <w:sz w:val="24"/>
          <w:szCs w:val="24"/>
          <w:lang w:eastAsia="zh-CN"/>
        </w:rPr>
        <w:t>机械制造加工、维修、检测</w:t>
      </w:r>
      <w:r>
        <w:rPr>
          <w:rFonts w:hint="eastAsia" w:ascii="宋体" w:hAnsi="宋体" w:eastAsia="宋体" w:cs="宋体"/>
          <w:color w:val="auto"/>
          <w:sz w:val="24"/>
          <w:szCs w:val="24"/>
        </w:rPr>
        <w:t>工作岗位上所必需的</w:t>
      </w:r>
      <w:r>
        <w:rPr>
          <w:rFonts w:hint="eastAsia" w:ascii="宋体" w:hAnsi="宋体" w:eastAsia="宋体" w:cs="宋体"/>
          <w:color w:val="auto"/>
          <w:kern w:val="2"/>
          <w:sz w:val="24"/>
          <w:szCs w:val="24"/>
          <w:lang w:val="en-US" w:eastAsia="zh-CN" w:bidi="ar-SA"/>
        </w:rPr>
        <w:t>国家标准和检测的基本技能</w:t>
      </w:r>
      <w:r>
        <w:rPr>
          <w:rFonts w:hint="eastAsia" w:ascii="宋体" w:hAnsi="宋体" w:eastAsia="宋体" w:cs="宋体"/>
          <w:color w:val="auto"/>
          <w:sz w:val="24"/>
          <w:szCs w:val="24"/>
        </w:rPr>
        <w:t>相关知识、技术标准、工作规范等</w:t>
      </w:r>
      <w:r>
        <w:rPr>
          <w:rFonts w:hint="eastAsia" w:ascii="宋体" w:hAnsi="宋体" w:eastAsia="宋体" w:cs="宋体"/>
          <w:color w:val="auto"/>
          <w:sz w:val="24"/>
          <w:szCs w:val="24"/>
          <w:lang w:eastAsia="zh-CN"/>
        </w:rPr>
        <w:t>，</w:t>
      </w:r>
      <w:r>
        <w:rPr>
          <w:rFonts w:hint="eastAsia" w:ascii="宋体" w:hAnsi="宋体" w:eastAsia="宋体" w:cs="宋体"/>
          <w:color w:val="auto"/>
          <w:kern w:val="2"/>
          <w:sz w:val="24"/>
          <w:szCs w:val="24"/>
          <w:lang w:val="en-US" w:eastAsia="zh-CN" w:bidi="ar-SA"/>
        </w:rPr>
        <w:t>为从事机电产品的设计、制造、维修、检测工作打下坚实的基础。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本课程通过对理论课程的学习，使学生掌握尺寸公差、几何公差、表面粗糙</w:t>
      </w:r>
      <w:r>
        <w:rPr>
          <w:rFonts w:hint="eastAsia" w:ascii="宋体" w:hAnsi="宋体" w:eastAsia="宋体" w:cs="宋体"/>
          <w:color w:val="auto"/>
          <w:kern w:val="0"/>
          <w:sz w:val="24"/>
          <w:szCs w:val="24"/>
          <w:lang w:eastAsia="zh-CN"/>
        </w:rPr>
        <w:t>度</w:t>
      </w:r>
      <w:r>
        <w:rPr>
          <w:rFonts w:hint="eastAsia" w:ascii="宋体" w:hAnsi="宋体" w:eastAsia="宋体" w:cs="宋体"/>
          <w:color w:val="auto"/>
          <w:kern w:val="0"/>
          <w:sz w:val="24"/>
          <w:szCs w:val="24"/>
        </w:rPr>
        <w:t>的国家标准和</w:t>
      </w:r>
      <w:r>
        <w:rPr>
          <w:rFonts w:hint="eastAsia" w:ascii="宋体" w:hAnsi="宋体" w:eastAsia="宋体" w:cs="宋体"/>
          <w:color w:val="auto"/>
          <w:kern w:val="0"/>
          <w:sz w:val="24"/>
          <w:szCs w:val="24"/>
          <w:lang w:eastAsia="zh-CN"/>
        </w:rPr>
        <w:t>有关</w:t>
      </w:r>
      <w:r>
        <w:rPr>
          <w:rFonts w:hint="eastAsia" w:ascii="宋体" w:hAnsi="宋体" w:eastAsia="宋体" w:cs="宋体"/>
          <w:color w:val="auto"/>
          <w:kern w:val="0"/>
          <w:sz w:val="24"/>
          <w:szCs w:val="24"/>
        </w:rPr>
        <w:t>测量技术，获得互换性、标准化及测量技术方面的基本知识，在从事机电产品的</w:t>
      </w:r>
      <w:r>
        <w:rPr>
          <w:rFonts w:hint="eastAsia" w:ascii="宋体" w:hAnsi="宋体" w:eastAsia="宋体" w:cs="宋体"/>
          <w:color w:val="auto"/>
          <w:kern w:val="0"/>
          <w:sz w:val="24"/>
          <w:szCs w:val="24"/>
          <w:lang w:eastAsia="zh-CN"/>
        </w:rPr>
        <w:t>制造加工、维修、检测</w:t>
      </w:r>
      <w:r>
        <w:rPr>
          <w:rFonts w:hint="eastAsia" w:ascii="宋体" w:hAnsi="宋体" w:eastAsia="宋体" w:cs="宋体"/>
          <w:color w:val="auto"/>
          <w:kern w:val="0"/>
          <w:sz w:val="24"/>
          <w:szCs w:val="24"/>
        </w:rPr>
        <w:t>、开发等工作中，具备能够正确应用国家标准和检测的基本技能。</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通过对该课程的学习</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使学生以互换性、标准化及测量技术方面的理论为基础，</w:t>
      </w:r>
      <w:r>
        <w:rPr>
          <w:rFonts w:hint="eastAsia" w:ascii="宋体" w:hAnsi="宋体" w:eastAsia="宋体" w:cs="宋体"/>
          <w:color w:val="auto"/>
          <w:kern w:val="0"/>
          <w:sz w:val="24"/>
          <w:szCs w:val="24"/>
          <w:lang w:val="en-US" w:eastAsia="zh-CN"/>
        </w:rPr>
        <w:t>掌握</w:t>
      </w:r>
      <w:r>
        <w:rPr>
          <w:rFonts w:hint="eastAsia" w:ascii="宋体" w:hAnsi="宋体" w:eastAsia="宋体" w:cs="宋体"/>
          <w:color w:val="auto"/>
          <w:sz w:val="24"/>
        </w:rPr>
        <w:t>培养学生具备</w:t>
      </w:r>
      <w:r>
        <w:rPr>
          <w:rFonts w:hint="eastAsia" w:ascii="宋体" w:hAnsi="宋体" w:eastAsia="宋体" w:cs="宋体"/>
          <w:color w:val="auto"/>
          <w:sz w:val="24"/>
          <w:lang w:eastAsia="zh-CN"/>
        </w:rPr>
        <w:t>机械制造加工、维修、检测的</w:t>
      </w:r>
      <w:r>
        <w:rPr>
          <w:rFonts w:hint="eastAsia" w:ascii="宋体" w:hAnsi="宋体" w:eastAsia="宋体" w:cs="宋体"/>
          <w:color w:val="auto"/>
          <w:sz w:val="24"/>
        </w:rPr>
        <w:t>实际工作能力所必需的</w:t>
      </w:r>
      <w:r>
        <w:rPr>
          <w:rFonts w:hint="eastAsia" w:ascii="宋体" w:hAnsi="宋体" w:eastAsia="宋体" w:cs="宋体"/>
          <w:color w:val="auto"/>
          <w:kern w:val="2"/>
          <w:sz w:val="24"/>
          <w:szCs w:val="24"/>
          <w:lang w:val="en-US" w:eastAsia="zh-CN" w:bidi="ar-SA"/>
        </w:rPr>
        <w:t>国家标准和检测的基本技能</w:t>
      </w:r>
      <w:r>
        <w:rPr>
          <w:rFonts w:hint="eastAsia" w:ascii="宋体" w:hAnsi="宋体" w:eastAsia="宋体" w:cs="宋体"/>
          <w:color w:val="auto"/>
          <w:sz w:val="24"/>
        </w:rPr>
        <w:t>相关知识、技术标准、工作规范</w:t>
      </w:r>
      <w:r>
        <w:rPr>
          <w:rFonts w:hint="eastAsia" w:ascii="宋体" w:hAnsi="宋体" w:eastAsia="宋体" w:cs="宋体"/>
          <w:color w:val="auto"/>
          <w:sz w:val="24"/>
          <w:lang w:eastAsia="zh-CN"/>
        </w:rPr>
        <w:t>。</w:t>
      </w:r>
      <w:r>
        <w:rPr>
          <w:rFonts w:hint="eastAsia" w:ascii="宋体" w:hAnsi="宋体" w:eastAsia="宋体" w:cs="宋体"/>
          <w:color w:val="auto"/>
          <w:sz w:val="24"/>
        </w:rPr>
        <w:t>培养学生具备</w:t>
      </w:r>
      <w:r>
        <w:rPr>
          <w:rFonts w:hint="eastAsia" w:ascii="宋体" w:hAnsi="宋体" w:eastAsia="宋体" w:cs="宋体"/>
          <w:color w:val="auto"/>
          <w:sz w:val="24"/>
          <w:lang w:eastAsia="zh-CN"/>
        </w:rPr>
        <w:t>机械制造加工、维修、检测的</w:t>
      </w:r>
      <w:r>
        <w:rPr>
          <w:rFonts w:hint="eastAsia" w:ascii="宋体" w:hAnsi="宋体" w:eastAsia="宋体" w:cs="宋体"/>
          <w:color w:val="auto"/>
          <w:sz w:val="24"/>
        </w:rPr>
        <w:t>实际工作能力</w:t>
      </w:r>
      <w:r>
        <w:rPr>
          <w:rFonts w:hint="eastAsia" w:ascii="宋体" w:hAnsi="宋体" w:eastAsia="宋体" w:cs="宋体"/>
          <w:color w:val="auto"/>
          <w:sz w:val="24"/>
          <w:lang w:eastAsia="zh-CN"/>
        </w:rPr>
        <w:t>。</w:t>
      </w:r>
      <w:r>
        <w:rPr>
          <w:rFonts w:hint="eastAsia" w:ascii="宋体" w:hAnsi="宋体" w:eastAsia="宋体" w:cs="宋体"/>
          <w:color w:val="auto"/>
          <w:sz w:val="24"/>
        </w:rPr>
        <w:t>具有一定发现问题、分析问题、解决问题的能力，具有</w:t>
      </w:r>
      <w:r>
        <w:rPr>
          <w:rFonts w:hint="eastAsia" w:ascii="宋体" w:hAnsi="宋体" w:eastAsia="宋体" w:cs="宋体"/>
          <w:color w:val="auto"/>
          <w:kern w:val="2"/>
          <w:sz w:val="24"/>
          <w:szCs w:val="24"/>
          <w:lang w:val="en-US" w:eastAsia="zh-CN" w:bidi="ar-SA"/>
        </w:rPr>
        <w:t>互换性、标准化及测量技术</w:t>
      </w:r>
      <w:r>
        <w:rPr>
          <w:rFonts w:hint="eastAsia" w:ascii="宋体" w:hAnsi="宋体" w:eastAsia="宋体" w:cs="宋体"/>
          <w:color w:val="auto"/>
          <w:sz w:val="24"/>
        </w:rPr>
        <w:t>方面的信息搜集能力和知识获取的能力。</w:t>
      </w:r>
    </w:p>
    <w:p>
      <w:pPr>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电工电子技术</w:t>
      </w:r>
    </w:p>
    <w:p>
      <w:pPr>
        <w:keepNext w:val="0"/>
        <w:keepLines w:val="0"/>
        <w:pageBreakBefore w:val="0"/>
        <w:kinsoku/>
        <w:wordWrap/>
        <w:overflowPunct/>
        <w:topLinePunct w:val="0"/>
        <w:autoSpaceDE/>
        <w:autoSpaceDN/>
        <w:bidi w:val="0"/>
        <w:adjustRightInd/>
        <w:snapToGrid/>
        <w:spacing w:after="0" w:line="360" w:lineRule="auto"/>
        <w:ind w:firstLine="602" w:firstLineChars="25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eastAsia="zh-CN"/>
        </w:rPr>
        <w:t>教学目标：</w:t>
      </w:r>
      <w:r>
        <w:rPr>
          <w:rFonts w:hint="eastAsia" w:ascii="宋体" w:hAnsi="宋体" w:eastAsia="宋体" w:cs="宋体"/>
          <w:color w:val="auto"/>
          <w:sz w:val="24"/>
          <w:szCs w:val="24"/>
        </w:rPr>
        <w:t xml:space="preserve">《电工电子技术》课程是高等职业院校自动化技术专业一门重要的专业基础课程，其任务是：培养学生科学思维能力、创新能力、分析问题和解决实际问题的能力，树立理论联系实际的工程观，是一门理论与实践一体化的技术基础课程。 </w:t>
      </w:r>
    </w:p>
    <w:p>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通过本课程的学习，</w:t>
      </w:r>
      <w:r>
        <w:rPr>
          <w:rFonts w:hint="eastAsia" w:ascii="宋体" w:hAnsi="宋体" w:eastAsia="宋体" w:cs="宋体"/>
          <w:color w:val="auto"/>
          <w:sz w:val="24"/>
          <w:szCs w:val="24"/>
        </w:rPr>
        <w:t>使学生获得电路基础、模拟电路、数字电路方面专业所必需的基本理论</w:t>
      </w:r>
      <w:r>
        <w:rPr>
          <w:rFonts w:hint="eastAsia" w:ascii="宋体" w:hAnsi="宋体" w:eastAsia="宋体" w:cs="宋体"/>
          <w:color w:val="auto"/>
          <w:sz w:val="24"/>
          <w:szCs w:val="24"/>
        </w:rPr>
        <w:t>、</w:t>
      </w:r>
      <w:r>
        <w:rPr>
          <w:rFonts w:hint="eastAsia" w:ascii="宋体" w:hAnsi="宋体" w:eastAsia="宋体" w:cs="宋体"/>
          <w:color w:val="auto"/>
          <w:sz w:val="24"/>
          <w:szCs w:val="24"/>
        </w:rPr>
        <w:t>基本知识和基本技能，</w:t>
      </w:r>
      <w:r>
        <w:rPr>
          <w:rFonts w:hint="eastAsia" w:ascii="宋体" w:hAnsi="宋体" w:eastAsia="宋体" w:cs="宋体"/>
          <w:color w:val="auto"/>
          <w:sz w:val="24"/>
          <w:szCs w:val="24"/>
        </w:rPr>
        <w:t>培养学生养成索取知识、处理问题和适应环境的良好习惯，提高实际动手操作能力。为后续课程的学习，和今后从事工程技术工作奠定一定的基础。</w:t>
      </w:r>
    </w:p>
    <w:p>
      <w:pPr>
        <w:keepNext w:val="0"/>
        <w:keepLines w:val="0"/>
        <w:pageBreakBefore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eastAsia="zh-CN"/>
        </w:rPr>
        <w:t>主要</w:t>
      </w:r>
      <w:r>
        <w:rPr>
          <w:rFonts w:hint="eastAsia" w:ascii="宋体" w:hAnsi="宋体" w:eastAsia="宋体" w:cs="宋体"/>
          <w:b/>
          <w:color w:val="auto"/>
          <w:sz w:val="24"/>
          <w:szCs w:val="24"/>
        </w:rPr>
        <w:t>内容：</w:t>
      </w:r>
      <w:r>
        <w:rPr>
          <w:rFonts w:hint="eastAsia" w:ascii="宋体" w:hAnsi="宋体" w:eastAsia="宋体" w:cs="宋体"/>
          <w:color w:val="auto"/>
          <w:sz w:val="24"/>
          <w:szCs w:val="24"/>
        </w:rPr>
        <w:t>本课程属非电类专业基础课，主要内容有直流电路、正弦交流电路、常用低压电器、常用半导体器件及应用等。它不仅理论知识丰富，而且还具有实践性强等特点。</w:t>
      </w:r>
    </w:p>
    <w:p>
      <w:pPr>
        <w:keepNext w:val="0"/>
        <w:keepLines w:val="0"/>
        <w:pageBreakBefore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知识点多，内容跳跃性强，课时少，教师教学难度大，考虑到本专业实施文理兼招，电路基础部分，是文科生学习工科的转型阶段，因此在教学过程中，第一章直流电路部分应适当放慢进度，正确引导，避免部分学生因接收能力差而出现厌学现象。</w:t>
      </w:r>
    </w:p>
    <w:p>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
          <w:color w:val="auto"/>
          <w:sz w:val="24"/>
          <w:szCs w:val="24"/>
          <w:lang w:val="en-US" w:eastAsia="zh-CN"/>
        </w:rPr>
      </w:pPr>
      <w:r>
        <w:rPr>
          <w:rFonts w:hint="eastAsia" w:ascii="宋体" w:hAnsi="宋体" w:eastAsia="宋体" w:cs="宋体"/>
          <w:color w:val="auto"/>
          <w:sz w:val="24"/>
          <w:szCs w:val="24"/>
        </w:rPr>
        <w:t>实验教学方面：要</w:t>
      </w:r>
      <w:r>
        <w:rPr>
          <w:rFonts w:hint="eastAsia" w:ascii="宋体" w:hAnsi="宋体" w:eastAsia="宋体" w:cs="宋体"/>
          <w:bCs/>
          <w:color w:val="auto"/>
          <w:sz w:val="24"/>
          <w:szCs w:val="24"/>
        </w:rPr>
        <w:t>注重能力培养，强调素质提高，突出创新意识</w:t>
      </w:r>
      <w:r>
        <w:rPr>
          <w:rFonts w:hint="eastAsia" w:ascii="宋体" w:hAnsi="宋体" w:eastAsia="宋体" w:cs="宋体"/>
          <w:color w:val="auto"/>
          <w:sz w:val="24"/>
          <w:szCs w:val="24"/>
        </w:rPr>
        <w:t>”。加强实验的实用性、设计性和创造性。将理论与实践糅合在一起，体现“理实一体“的特点。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（6）机械设计基础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通过学习，培养学生对机器工作内含的理解，形成了对机电工程领域设备运行的认知能力，也为后续专业课程的学习提供知识储备。</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该课程主要包括杆件传动、摩擦传动、啮合传动和零部件传动等方面的内容，探讨常用传动装置的工作原理、性能参数、应用场合以及简明的设计与计算方法。以及结合实际的应用、参观认识等等。</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了解各类传动装置的工作原理、性能参数、应用场合以及简明的设计与计算方法，掌握常用的基本知识。在此基础上，应使教学内容简洁明快，尽力做到讲练结合；多联系实际，或通过一些小的设计制作，加强理解。</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（7）电气控制与PLC</w:t>
      </w:r>
    </w:p>
    <w:p>
      <w:pPr>
        <w:keepNext w:val="0"/>
        <w:keepLines w:val="0"/>
        <w:pageBreakBefore w:val="0"/>
        <w:widowControl/>
        <w:kinsoku/>
        <w:wordWrap/>
        <w:overflowPunct/>
        <w:topLinePunct w:val="0"/>
        <w:autoSpaceDE/>
        <w:autoSpaceDN/>
        <w:bidi w:val="0"/>
        <w:adjustRightInd/>
        <w:snapToGrid/>
        <w:spacing w:line="360" w:lineRule="auto"/>
        <w:ind w:firstLine="472" w:firstLineChars="196"/>
        <w:jc w:val="left"/>
        <w:textAlignment w:val="auto"/>
        <w:rPr>
          <w:rFonts w:hint="eastAsia" w:ascii="宋体" w:hAnsi="宋体" w:eastAsia="宋体" w:cs="宋体"/>
          <w:color w:val="auto"/>
          <w:sz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《电气控制与PLC》</w:t>
      </w:r>
      <w:r>
        <w:rPr>
          <w:rFonts w:hint="eastAsia" w:ascii="宋体" w:hAnsi="宋体" w:eastAsia="宋体" w:cs="宋体"/>
          <w:color w:val="auto"/>
          <w:sz w:val="24"/>
          <w:szCs w:val="24"/>
        </w:rPr>
        <w:t>是机修专业的一门专业课，</w:t>
      </w:r>
      <w:r>
        <w:rPr>
          <w:rFonts w:hint="eastAsia" w:ascii="宋体" w:hAnsi="宋体" w:eastAsia="宋体" w:cs="宋体"/>
          <w:color w:val="auto"/>
          <w:sz w:val="24"/>
        </w:rPr>
        <w:t>通过本课程的学习使学生获得必需的电机、电气控制技术及PLC控制技术的基本知识和基本技能，使学生具备</w:t>
      </w:r>
      <w:r>
        <w:rPr>
          <w:rFonts w:hint="eastAsia" w:ascii="宋体" w:hAnsi="宋体" w:eastAsia="宋体" w:cs="宋体"/>
          <w:color w:val="auto"/>
          <w:kern w:val="0"/>
          <w:sz w:val="24"/>
          <w:szCs w:val="24"/>
        </w:rPr>
        <w:t>电气控制系统和PLC系统的分析、设计与应用能力，</w:t>
      </w:r>
      <w:r>
        <w:rPr>
          <w:rFonts w:hint="eastAsia" w:ascii="宋体" w:hAnsi="宋体" w:eastAsia="宋体" w:cs="宋体"/>
          <w:color w:val="auto"/>
          <w:sz w:val="24"/>
        </w:rPr>
        <w:t>提高学生分析和解决实际问题的能力，同时为取得相关职业资格证书打下基础，促进学生适应今后机电设备维护术等相关专业的工作。</w:t>
      </w:r>
    </w:p>
    <w:p>
      <w:pPr>
        <w:keepNext w:val="0"/>
        <w:keepLines w:val="0"/>
        <w:pageBreakBefore w:val="0"/>
        <w:widowControl/>
        <w:kinsoku/>
        <w:wordWrap/>
        <w:overflowPunct/>
        <w:topLinePunct w:val="0"/>
        <w:autoSpaceDE/>
        <w:autoSpaceDN/>
        <w:bidi w:val="0"/>
        <w:adjustRightInd/>
        <w:snapToGrid/>
        <w:spacing w:line="360" w:lineRule="auto"/>
        <w:ind w:firstLine="472" w:firstLineChars="196"/>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rPr>
        <w:t>过该课程的学习，使学生掌握常用低压电器的选型与使用方法，熟悉继电接触控制系统的典型线路，学会典型机床电路的分析与应用，能完成一般电气控制线路的设计、装调及维护，掌握PLC基本知识及其应用。进一步培养学生现代电气系统及PLC系统的设计、安装与维护岗位的实际工作能力。</w:t>
      </w:r>
    </w:p>
    <w:p>
      <w:pPr>
        <w:keepNext w:val="0"/>
        <w:keepLines w:val="0"/>
        <w:pageBreakBefore w:val="0"/>
        <w:widowControl/>
        <w:kinsoku/>
        <w:wordWrap/>
        <w:overflowPunct/>
        <w:topLinePunct w:val="0"/>
        <w:autoSpaceDE/>
        <w:autoSpaceDN/>
        <w:bidi w:val="0"/>
        <w:adjustRightInd/>
        <w:snapToGrid/>
        <w:spacing w:line="360" w:lineRule="auto"/>
        <w:ind w:firstLine="472" w:firstLineChars="196"/>
        <w:jc w:val="left"/>
        <w:textAlignment w:val="auto"/>
        <w:rPr>
          <w:rFonts w:hint="eastAsia" w:ascii="宋体" w:hAnsi="宋体" w:eastAsia="宋体" w:cs="宋体"/>
          <w:b/>
          <w:bCs w:val="0"/>
          <w:color w:val="auto"/>
          <w:kern w:val="0"/>
          <w:sz w:val="24"/>
          <w:szCs w:val="24"/>
          <w:lang w:val="en-US"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rPr>
        <w:t>在教学过程中，采用多种教学手段与方法，注重基础应用性，从理论的传授过渡到方法的学习。通过本课程的学习使学生掌握电控与 PLC 应用技术的基本思维方式及实践技术，鼓励学生积极参与教学案例分析、方案制定。同时也注重理论新颖性，使本课程具有观念新、易学习的特点。密切结合高职学生的特点，通过与课程内容紧密配合的课堂活动，丰富教学内容，调动学生学习的兴趣，激发他们学习的热情，使学生真正成为学习的主人、课堂的主人。</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val="0"/>
          <w:color w:val="auto"/>
          <w:kern w:val="0"/>
          <w:sz w:val="24"/>
          <w:szCs w:val="24"/>
        </w:rPr>
      </w:pPr>
      <w:r>
        <w:rPr>
          <w:rFonts w:hint="eastAsia" w:ascii="宋体" w:hAnsi="宋体" w:eastAsia="宋体" w:cs="宋体"/>
          <w:b/>
          <w:bCs w:val="0"/>
          <w:color w:val="auto"/>
          <w:kern w:val="0"/>
          <w:sz w:val="24"/>
          <w:szCs w:val="24"/>
          <w:lang w:val="en-US" w:eastAsia="zh-CN"/>
        </w:rPr>
        <w:t>（8）液压系统安装及调试</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液压系统安装及调试</w:t>
      </w:r>
      <w:r>
        <w:rPr>
          <w:rFonts w:hint="eastAsia" w:ascii="宋体" w:hAnsi="宋体" w:eastAsia="宋体" w:cs="宋体"/>
          <w:color w:val="auto"/>
          <w:sz w:val="24"/>
          <w:szCs w:val="24"/>
        </w:rPr>
        <w:t>》是机械类专业的一门职业技术课。通过本课程的学习，掌握一定的液压系统的设计、安装调试和维修技能，为课程设计、毕业设计及以后从事机电产品的设计、操作、安装调试和维修工作打下坚实的基础。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通过理论课学习，使学生系统地掌握液压与气动的基础知识</w:t>
      </w:r>
      <w:r>
        <w:rPr>
          <w:rFonts w:hint="eastAsia" w:ascii="宋体" w:hAnsi="宋体" w:eastAsia="宋体" w:cs="宋体"/>
          <w:color w:val="auto"/>
          <w:sz w:val="24"/>
          <w:szCs w:val="24"/>
        </w:rPr>
        <w:t>和基本计算方法、理解常用液压泵、液压缸、气缸及控制阀的工作原理、特点及应用；学习分析基本液压回路和气动控制回路的方法，读懂液压与气动控制系统回路图。</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通过实践训练，使学生掌握简单液压系统设计、安装调试和维修的能力，熟悉液压与气动技术的理论知识，加深理论与实践的联系，认识到这门技术的实用价值，增强应用意识；</w:t>
      </w:r>
      <w:r>
        <w:rPr>
          <w:rFonts w:hint="eastAsia" w:ascii="宋体" w:hAnsi="宋体" w:eastAsia="宋体" w:cs="宋体"/>
          <w:color w:val="auto"/>
          <w:sz w:val="24"/>
          <w:szCs w:val="24"/>
        </w:rPr>
        <w:t>培养学生设计基本液压系统及气动控制系统的思路，按照回路图熟练选用元件，按照项目要求正确组装并调试液压与气动控制回路；通过探索性的实训项目，培养学生的创新能力。了解国内外先进液压与气动技术成果在机电一体化设备中的应用。</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学习本课程，重点掌握简单液压与气动设备的安装调试、维修操作的能力，掌握液压与气动设备安装调试、维修操作工作的相关知识、技术标准、工作规范等。具有一定发现问题、分析问题、解决问题的能力，具有液压与气动传动技术方面的信息搜集能力和知识获取的能力。</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充分利用该课程的实践教学环节，增强学生安全意识、纪律意识，培养学生爱岗敬业、诚实守信、团队协作的良好职业道德和节约资源、保护环境的良好习惯等。同时培养学生的理论联系实际能力、创新素质和严谨求实的科学态度以及自学能力。 </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9</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eastAsia="zh-CN"/>
        </w:rPr>
        <w:t>机械</w:t>
      </w:r>
      <w:r>
        <w:rPr>
          <w:rFonts w:hint="eastAsia" w:ascii="宋体" w:hAnsi="宋体" w:eastAsia="宋体" w:cs="宋体"/>
          <w:b/>
          <w:bCs/>
          <w:color w:val="auto"/>
          <w:sz w:val="24"/>
          <w:szCs w:val="24"/>
          <w:lang w:val="en-US" w:eastAsia="zh-CN"/>
        </w:rPr>
        <w:t>CAD/CAM</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本课程主要</w:t>
      </w:r>
      <w:r>
        <w:rPr>
          <w:rFonts w:hint="eastAsia" w:ascii="宋体" w:hAnsi="宋体" w:eastAsia="宋体" w:cs="宋体"/>
          <w:color w:val="auto"/>
          <w:sz w:val="24"/>
          <w:szCs w:val="24"/>
        </w:rPr>
        <w:t>培养学生具备</w:t>
      </w:r>
      <w:r>
        <w:rPr>
          <w:rFonts w:hint="eastAsia" w:ascii="宋体" w:hAnsi="宋体" w:eastAsia="宋体" w:cs="宋体"/>
          <w:color w:val="auto"/>
          <w:sz w:val="24"/>
          <w:szCs w:val="24"/>
          <w:lang w:eastAsia="zh-CN"/>
        </w:rPr>
        <w:t>三维设计和数控编程</w:t>
      </w:r>
      <w:r>
        <w:rPr>
          <w:rFonts w:hint="eastAsia" w:ascii="宋体" w:hAnsi="宋体" w:eastAsia="宋体" w:cs="宋体"/>
          <w:color w:val="auto"/>
          <w:sz w:val="24"/>
          <w:szCs w:val="24"/>
        </w:rPr>
        <w:t>职业、岗位或工种的实际工作能力；具备在</w:t>
      </w:r>
      <w:r>
        <w:rPr>
          <w:rFonts w:hint="eastAsia" w:ascii="宋体" w:hAnsi="宋体" w:eastAsia="宋体" w:cs="宋体"/>
          <w:color w:val="auto"/>
          <w:sz w:val="24"/>
          <w:szCs w:val="24"/>
          <w:lang w:eastAsia="zh-CN"/>
        </w:rPr>
        <w:t>三维设计和数控编程</w:t>
      </w:r>
      <w:r>
        <w:rPr>
          <w:rFonts w:hint="eastAsia" w:ascii="宋体" w:hAnsi="宋体" w:eastAsia="宋体" w:cs="宋体"/>
          <w:color w:val="auto"/>
          <w:sz w:val="24"/>
          <w:szCs w:val="24"/>
        </w:rPr>
        <w:t>岗位上所必需的相关知识、技术标准、工作规范等。掌握</w:t>
      </w:r>
      <w:r>
        <w:rPr>
          <w:rFonts w:hint="eastAsia" w:ascii="宋体" w:hAnsi="宋体" w:eastAsia="宋体" w:cs="宋体"/>
          <w:color w:val="auto"/>
          <w:sz w:val="24"/>
          <w:szCs w:val="24"/>
          <w:lang w:eastAsia="zh-CN"/>
        </w:rPr>
        <w:t>机械零件设计和自动编程</w:t>
      </w:r>
      <w:r>
        <w:rPr>
          <w:rFonts w:hint="eastAsia" w:ascii="宋体" w:hAnsi="宋体" w:eastAsia="宋体" w:cs="宋体"/>
          <w:color w:val="auto"/>
          <w:sz w:val="24"/>
          <w:szCs w:val="24"/>
        </w:rPr>
        <w:t>等技能，取得</w:t>
      </w:r>
      <w:r>
        <w:rPr>
          <w:rFonts w:hint="eastAsia" w:ascii="宋体" w:hAnsi="宋体" w:eastAsia="宋体" w:cs="宋体"/>
          <w:color w:val="auto"/>
          <w:sz w:val="24"/>
          <w:szCs w:val="24"/>
          <w:lang w:val="en-US" w:eastAsia="zh-CN"/>
        </w:rPr>
        <w:t>UG</w:t>
      </w:r>
      <w:r>
        <w:rPr>
          <w:rFonts w:hint="eastAsia" w:ascii="宋体" w:hAnsi="宋体" w:eastAsia="宋体" w:cs="宋体"/>
          <w:color w:val="auto"/>
          <w:sz w:val="24"/>
          <w:szCs w:val="24"/>
          <w:lang w:eastAsia="zh-CN"/>
        </w:rPr>
        <w:t>三维设计软件</w:t>
      </w:r>
      <w:r>
        <w:rPr>
          <w:rFonts w:hint="eastAsia" w:ascii="宋体" w:hAnsi="宋体" w:eastAsia="宋体" w:cs="宋体"/>
          <w:color w:val="auto"/>
          <w:sz w:val="24"/>
          <w:szCs w:val="24"/>
        </w:rPr>
        <w:t>证书。</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专业领域方向的核心技能培训课程。本课程主要讲授常用的CAD/CAM自动编程软件的功能，功能菜单及其基本操作方法，零件的CAD实体造型，软件常用的加工功能及其使用方法，刀具参数的设置，加工参数的设置，NC代码的生成，后置处理设置，加工过程的刀具轨迹和实体仿真，加工程序的传输等。</w:t>
      </w:r>
      <w:r>
        <w:rPr>
          <w:rFonts w:hint="eastAsia" w:ascii="宋体" w:hAnsi="宋体" w:eastAsia="宋体" w:cs="宋体"/>
          <w:color w:val="auto"/>
          <w:kern w:val="0"/>
          <w:sz w:val="24"/>
          <w:szCs w:val="24"/>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本课程通过对理论课程的学习，使学生熟悉</w:t>
      </w:r>
      <w:r>
        <w:rPr>
          <w:rFonts w:hint="eastAsia" w:ascii="宋体" w:hAnsi="宋体" w:eastAsia="宋体" w:cs="宋体"/>
          <w:color w:val="auto"/>
          <w:sz w:val="24"/>
          <w:szCs w:val="24"/>
          <w:lang w:eastAsia="zh-CN"/>
        </w:rPr>
        <w:t>三维建模</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机械零件装配、工程图和自动编程</w:t>
      </w:r>
      <w:r>
        <w:rPr>
          <w:rFonts w:hint="eastAsia" w:ascii="宋体" w:hAnsi="宋体" w:eastAsia="宋体" w:cs="宋体"/>
          <w:color w:val="auto"/>
          <w:sz w:val="24"/>
          <w:szCs w:val="24"/>
        </w:rPr>
        <w:t>，掌握</w:t>
      </w:r>
      <w:r>
        <w:rPr>
          <w:rFonts w:hint="eastAsia" w:ascii="宋体" w:hAnsi="宋体" w:eastAsia="宋体" w:cs="宋体"/>
          <w:color w:val="auto"/>
          <w:sz w:val="24"/>
          <w:szCs w:val="24"/>
          <w:lang w:eastAsia="zh-CN"/>
        </w:rPr>
        <w:t>机械零件三维设计和数控自动编程等的</w:t>
      </w:r>
      <w:r>
        <w:rPr>
          <w:rFonts w:hint="eastAsia" w:ascii="宋体" w:hAnsi="宋体" w:eastAsia="宋体" w:cs="宋体"/>
          <w:color w:val="auto"/>
          <w:sz w:val="24"/>
          <w:szCs w:val="24"/>
        </w:rPr>
        <w:t>方法；通过</w:t>
      </w:r>
      <w:r>
        <w:rPr>
          <w:rFonts w:hint="eastAsia" w:ascii="宋体" w:hAnsi="宋体" w:eastAsia="宋体" w:cs="宋体"/>
          <w:color w:val="auto"/>
          <w:sz w:val="24"/>
          <w:szCs w:val="24"/>
          <w:lang w:eastAsia="zh-CN"/>
        </w:rPr>
        <w:t>上机</w:t>
      </w:r>
      <w:r>
        <w:rPr>
          <w:rFonts w:hint="eastAsia" w:ascii="宋体" w:hAnsi="宋体" w:eastAsia="宋体" w:cs="宋体"/>
          <w:color w:val="auto"/>
          <w:sz w:val="24"/>
          <w:szCs w:val="24"/>
        </w:rPr>
        <w:t>实践训练，使学生具备</w:t>
      </w:r>
      <w:r>
        <w:rPr>
          <w:rFonts w:hint="eastAsia" w:ascii="宋体" w:hAnsi="宋体" w:eastAsia="宋体" w:cs="宋体"/>
          <w:color w:val="auto"/>
          <w:sz w:val="24"/>
          <w:szCs w:val="24"/>
          <w:lang w:val="en-US" w:eastAsia="zh-CN"/>
        </w:rPr>
        <w:t>UG软件的操作</w:t>
      </w:r>
      <w:r>
        <w:rPr>
          <w:rFonts w:hint="eastAsia" w:ascii="宋体" w:hAnsi="宋体" w:eastAsia="宋体" w:cs="宋体"/>
          <w:color w:val="auto"/>
          <w:sz w:val="24"/>
          <w:szCs w:val="24"/>
        </w:rPr>
        <w:t>技能。</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10</w:t>
      </w:r>
      <w:r>
        <w:rPr>
          <w:rFonts w:hint="eastAsia" w:ascii="宋体" w:hAnsi="宋体" w:eastAsia="宋体" w:cs="宋体"/>
          <w:b/>
          <w:color w:val="auto"/>
          <w:sz w:val="24"/>
          <w:szCs w:val="24"/>
          <w:lang w:eastAsia="zh-CN"/>
        </w:rPr>
        <w:t>）数控加工编程及操作</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本课程通过对加工过程中有关工艺分析、数值计算、基本的编程功能指令、仿真系统操作等的学习，</w:t>
      </w:r>
      <w:r>
        <w:rPr>
          <w:rFonts w:hint="eastAsia" w:ascii="宋体" w:hAnsi="宋体" w:eastAsia="宋体" w:cs="宋体"/>
          <w:color w:val="auto"/>
          <w:sz w:val="24"/>
          <w:szCs w:val="24"/>
        </w:rPr>
        <w:t>使学生熟</w:t>
      </w:r>
      <w:r>
        <w:rPr>
          <w:rFonts w:hint="eastAsia" w:ascii="宋体" w:hAnsi="宋体" w:eastAsia="宋体" w:cs="宋体"/>
          <w:color w:val="auto"/>
          <w:sz w:val="24"/>
          <w:szCs w:val="24"/>
          <w:lang w:eastAsia="zh-CN"/>
        </w:rPr>
        <w:t>数控机床操作系统界面、</w:t>
      </w:r>
      <w:r>
        <w:rPr>
          <w:rFonts w:hint="eastAsia" w:ascii="宋体" w:hAnsi="宋体" w:eastAsia="宋体" w:cs="宋体"/>
          <w:color w:val="auto"/>
          <w:sz w:val="24"/>
          <w:szCs w:val="24"/>
          <w:lang w:val="en-US" w:eastAsia="zh-CN"/>
        </w:rPr>
        <w:t>G代码</w:t>
      </w:r>
      <w:r>
        <w:rPr>
          <w:rFonts w:hint="eastAsia" w:ascii="宋体" w:hAnsi="宋体" w:eastAsia="宋体" w:cs="宋体"/>
          <w:color w:val="auto"/>
          <w:sz w:val="24"/>
          <w:szCs w:val="24"/>
          <w:lang w:eastAsia="zh-CN"/>
        </w:rPr>
        <w:t>等</w:t>
      </w:r>
      <w:r>
        <w:rPr>
          <w:rFonts w:hint="eastAsia" w:ascii="宋体" w:hAnsi="宋体" w:eastAsia="宋体" w:cs="宋体"/>
          <w:color w:val="auto"/>
          <w:sz w:val="24"/>
          <w:szCs w:val="24"/>
        </w:rPr>
        <w:t>内容，</w:t>
      </w:r>
      <w:r>
        <w:rPr>
          <w:rFonts w:hint="eastAsia" w:ascii="宋体" w:hAnsi="宋体" w:eastAsia="宋体" w:cs="宋体"/>
          <w:color w:val="auto"/>
          <w:sz w:val="24"/>
          <w:szCs w:val="24"/>
          <w:lang w:eastAsia="zh-CN"/>
        </w:rPr>
        <w:t>掌握常用数控机床的程序编制方法及操作。通过编程加工训练、数控仿真系统操作及企业案例的仿真操作等实践训练，使学生具备的数控程序编制和机床操作能力。</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rPr>
        <w:t>本专业领域方向的核心技能培训课程。本课程主要讲授数控车床、数控铣床和加工中心编程的基本知识，各种常用编程指令与操作。</w:t>
      </w:r>
      <w:r>
        <w:rPr>
          <w:rFonts w:hint="eastAsia" w:ascii="宋体" w:hAnsi="宋体" w:eastAsia="宋体" w:cs="宋体"/>
          <w:color w:val="auto"/>
          <w:kern w:val="0"/>
          <w:sz w:val="24"/>
          <w:szCs w:val="24"/>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rPr>
        <w:t>使学生获得数控编程与操作的基础知识。熟练掌握数控车削编程及加工、数控铣床编程及加工（基本编程，刀具半径及长度补偿，中等复杂轮廓，宏指令及典型曲面），熟练掌握典型数控系统的操作，了解电火花、线切割机床的编程与操作。具有手工编写中等复杂程度零件的工艺设计、程序编制、刀具选择、对刀、试切调整、参数设置，最终完成零件加工全过程的基本能力。</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11</w:t>
      </w:r>
      <w:r>
        <w:rPr>
          <w:rFonts w:hint="eastAsia" w:ascii="宋体" w:hAnsi="宋体" w:eastAsia="宋体" w:cs="宋体"/>
          <w:b/>
          <w:color w:val="auto"/>
          <w:sz w:val="24"/>
          <w:szCs w:val="24"/>
          <w:lang w:eastAsia="zh-CN"/>
        </w:rPr>
        <w:t>）机械制造技术</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本课程通过对</w:t>
      </w:r>
      <w:r>
        <w:rPr>
          <w:rFonts w:hint="eastAsia" w:ascii="宋体" w:hAnsi="宋体" w:eastAsia="宋体" w:cs="宋体"/>
          <w:color w:val="auto"/>
          <w:sz w:val="24"/>
          <w:szCs w:val="24"/>
        </w:rPr>
        <w:t>通</w:t>
      </w:r>
      <w:r>
        <w:rPr>
          <w:rFonts w:hint="eastAsia" w:ascii="宋体" w:hAnsi="宋体" w:eastAsia="宋体" w:cs="宋体"/>
          <w:color w:val="auto"/>
          <w:sz w:val="24"/>
          <w:szCs w:val="24"/>
        </w:rPr>
        <w:t>过对机床、切削原理、工艺基础知识的学习，强化典型零件的加工工艺设计能力，同时注重夹具设计、装配工艺制定、质量问题分析三种能力，将教学内容向综合化、系统化方向延伸。培养学生对机床的选型、刀具的选择、夹具的设计、制造工艺设计的牢固掌握，如教学中，将机械设计基础、工程材料的基本知识融入到教学中，使学生成为具有综合能力、理实结合能力的人才</w:t>
      </w:r>
      <w:r>
        <w:rPr>
          <w:rFonts w:hint="eastAsia" w:ascii="宋体" w:hAnsi="宋体" w:eastAsia="宋体" w:cs="宋体"/>
          <w:color w:val="auto"/>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本课程主要讲授通用机床结构及传动原理、金属切削原理、机械零件典型表面的加工方法、机械制造工艺的原则与方法、刀具的选用与夹具的设计。</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lang w:eastAsia="zh-CN"/>
        </w:rPr>
        <w:t>通过本课程的学习</w:t>
      </w:r>
      <w:r>
        <w:rPr>
          <w:rFonts w:hint="eastAsia" w:ascii="宋体" w:hAnsi="宋体" w:eastAsia="宋体" w:cs="宋体"/>
          <w:color w:val="auto"/>
          <w:sz w:val="24"/>
          <w:szCs w:val="24"/>
        </w:rPr>
        <w:t>初步掌握机床传动的路线分析、机械零件的典型表面的加工方法、刀具材料及几何参数选用、夹具的设计原则、机械加工工艺规程的制订，具有分析计算机械加工机床的传动路线、级数；选择机械加工中刀具材料、刀具角度；选用与设计机械加工中的夹具；选择机械零件的毛坯与加工方式、编制中等难度的机械加工工艺规程的初步能力。</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12）</w:t>
      </w:r>
      <w:r>
        <w:rPr>
          <w:rFonts w:hint="eastAsia" w:ascii="宋体" w:hAnsi="宋体" w:eastAsia="宋体" w:cs="宋体"/>
          <w:b/>
          <w:color w:val="auto"/>
          <w:kern w:val="0"/>
          <w:sz w:val="24"/>
          <w:szCs w:val="24"/>
        </w:rPr>
        <w:t>机械设备装配与维修技术</w:t>
      </w:r>
    </w:p>
    <w:p>
      <w:pPr>
        <w:pStyle w:val="27"/>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通过该课程的学习，让学生掌握机械故、机械磨损的概念及其规律，熟悉常用的无损检测技术；掌握润滑的作用及分类，熟悉常用的润滑（流体动压润滑、流体静压润滑、流体动-静压润滑、边界润滑、固体润滑）原理；掌握零件常用的拆卸方法，掌握典型连接件（螺纹、滚动轴承等）的拆卸与装配方法；熟悉常用的零件修复技术。同时培养学生能正确运用常用的无损检测技术对失效零部件进行检测；能正确对零部件和设备进行润滑；能正确对机械进行拆卸与装配；能选择合理的修复技术对常见的零部件失效进行修复。</w:t>
      </w:r>
    </w:p>
    <w:p>
      <w:pPr>
        <w:pStyle w:val="27"/>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《机械设备装配与维修技术》是一门应用性和实践性都很强的课程，是</w:t>
      </w:r>
      <w:r>
        <w:rPr>
          <w:rFonts w:hint="eastAsia" w:ascii="宋体" w:hAnsi="宋体" w:eastAsia="宋体" w:cs="宋体"/>
          <w:color w:val="auto"/>
          <w:kern w:val="0"/>
          <w:sz w:val="24"/>
          <w:szCs w:val="24"/>
        </w:rPr>
        <w:t>机电设备管理与维修</w:t>
      </w:r>
      <w:r>
        <w:rPr>
          <w:rFonts w:hint="eastAsia" w:ascii="宋体" w:hAnsi="宋体" w:eastAsia="宋体" w:cs="宋体"/>
          <w:color w:val="auto"/>
          <w:sz w:val="24"/>
          <w:szCs w:val="24"/>
        </w:rPr>
        <w:t>专业一门核心专业课，也是钳工中、高级职业资格证书、毕业设计、顶岗实习等的基础课和基本技能养成课程，是职业素质养成与职业能力培养较基本和重要的理论实践一体化课程。</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本课程为机电设备维修与管理专业的专业课，本课程的实践性、综合性较强，因此在讲授理论知识的过程中，除了多引用实际工程中的相关案例外，还注重突出重要的知识点，以便于学生更好的掌握。教学过程必须从教学目标出发，了解不同专业对本课程的不同需求，注重与有关课程的结合。 课堂讲学的形式应多样化，尽可能安排多媒体教学。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13</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逆向工程及3D打印技术</w:t>
      </w:r>
      <w:r>
        <w:rPr>
          <w:rFonts w:hint="eastAsia" w:ascii="宋体" w:hAnsi="宋体" w:eastAsia="宋体" w:cs="宋体"/>
          <w:b/>
          <w:bCs/>
          <w:color w:val="auto"/>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通过该课程的学习，培养学生对机械制造专业具有一定的认知能力，具有一定发现问题、分析问题、解决问题的能力，具有方面3D打印及其相关技术的信息搜集能力和知识获取的能力。</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3D打印技术概述；3D设计软件（Creo）；3D扫描仪的操作；逆向设计软件的学习；3D打印机的操作；设计打印综合实例</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教学要求：</w:t>
      </w:r>
      <w:r>
        <w:rPr>
          <w:rFonts w:hint="eastAsia" w:ascii="宋体" w:hAnsi="宋体" w:eastAsia="宋体" w:cs="宋体"/>
          <w:color w:val="auto"/>
          <w:sz w:val="24"/>
          <w:szCs w:val="24"/>
        </w:rPr>
        <w:t>该课程通过理实一体的教学方式，培养学生具备3D建模、逆向建模、3D打印岗位的实际工作能力；具备在3D建模、逆向建模、3D打印相关必需的知识、技术标准、工作规范等。掌握3D建模、逆向建模、3D打印的基本工作能力</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14</w:t>
      </w:r>
      <w:r>
        <w:rPr>
          <w:rFonts w:hint="eastAsia" w:ascii="宋体" w:hAnsi="宋体" w:eastAsia="宋体" w:cs="宋体"/>
          <w:b/>
          <w:color w:val="auto"/>
          <w:sz w:val="24"/>
          <w:szCs w:val="24"/>
          <w:lang w:eastAsia="zh-CN"/>
        </w:rPr>
        <w:t>）先进制造技术</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本课程主要是让学生对先进制造系统及其主要的先进制造技术有一个基本的了解，并掌握制造系统的构成、分析、决策、规划设计的基本知识和基本方法，从而适应现代工业工程技术行紧缺人才培养的需要。</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lang w:eastAsia="zh-CN"/>
        </w:rPr>
        <w:t>本课程主要讲解快速原型制造、虚拟制造、制造自动化、微米</w:t>
      </w:r>
      <w:r>
        <w:rPr>
          <w:rFonts w:hint="eastAsia" w:ascii="宋体" w:hAnsi="宋体" w:eastAsia="宋体" w:cs="宋体"/>
          <w:color w:val="auto"/>
          <w:sz w:val="24"/>
          <w:szCs w:val="24"/>
          <w:lang w:val="en-US" w:eastAsia="zh-CN"/>
        </w:rPr>
        <w:t>/纳米等先进制造技术</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lang w:eastAsia="zh-CN"/>
        </w:rPr>
        <w:t>通过本课程学习了解先进制造技术的发展历程和特点；理解集成制造、逆向工程、虚拟制造的概念；理解各种快速成型的原理，对其它先进制造技术有一定的了解。</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rPr>
      </w:pPr>
      <w:r>
        <w:rPr>
          <w:rFonts w:hint="eastAsia" w:ascii="宋体" w:hAnsi="宋体" w:eastAsia="宋体" w:cs="宋体"/>
          <w:b/>
          <w:color w:val="auto"/>
          <w:sz w:val="24"/>
          <w:lang w:eastAsia="zh-CN"/>
        </w:rPr>
        <w:t>（</w:t>
      </w:r>
      <w:r>
        <w:rPr>
          <w:rFonts w:hint="eastAsia" w:ascii="宋体" w:hAnsi="宋体" w:eastAsia="宋体" w:cs="宋体"/>
          <w:b/>
          <w:color w:val="auto"/>
          <w:sz w:val="24"/>
          <w:lang w:val="en-US" w:eastAsia="zh-CN"/>
        </w:rPr>
        <w:t>15</w:t>
      </w:r>
      <w:r>
        <w:rPr>
          <w:rFonts w:hint="eastAsia" w:ascii="宋体" w:hAnsi="宋体" w:eastAsia="宋体" w:cs="宋体"/>
          <w:b/>
          <w:color w:val="auto"/>
          <w:sz w:val="24"/>
          <w:lang w:eastAsia="zh-CN"/>
        </w:rPr>
        <w:t>）</w:t>
      </w:r>
      <w:r>
        <w:rPr>
          <w:rFonts w:hint="eastAsia" w:ascii="宋体" w:hAnsi="宋体" w:eastAsia="宋体" w:cs="宋体"/>
          <w:b/>
          <w:color w:val="auto"/>
          <w:sz w:val="24"/>
        </w:rPr>
        <w:t>钳工实训</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b/>
          <w:color w:val="auto"/>
          <w:sz w:val="24"/>
        </w:rPr>
        <w:t xml:space="preserve"> </w:t>
      </w:r>
      <w:r>
        <w:rPr>
          <w:rFonts w:hint="eastAsia" w:ascii="宋体" w:hAnsi="宋体" w:eastAsia="宋体" w:cs="宋体"/>
          <w:b/>
          <w:color w:val="auto"/>
          <w:sz w:val="24"/>
          <w:lang w:eastAsia="zh-CN"/>
        </w:rPr>
        <w:t>教学目标</w:t>
      </w:r>
      <w:r>
        <w:rPr>
          <w:rFonts w:hint="eastAsia" w:ascii="宋体" w:hAnsi="宋体" w:eastAsia="宋体" w:cs="宋体"/>
          <w:b/>
          <w:color w:val="auto"/>
          <w:sz w:val="24"/>
        </w:rPr>
        <w:t>：</w:t>
      </w:r>
      <w:r>
        <w:rPr>
          <w:rFonts w:hint="eastAsia" w:ascii="宋体" w:hAnsi="宋体" w:eastAsia="宋体" w:cs="宋体"/>
          <w:color w:val="auto"/>
          <w:sz w:val="24"/>
        </w:rPr>
        <w:t>通过钳工实训，要求了解钳工的基本知识，使学生了解钳工的一般操作技能。从而加深对机械制造一般过程和机械基础知识的认识，实训过程注意培养学生理论联系实际、经济观念和生产质量观,以及遵守安全技术操作，热爱劳动，爱护公物等基本素质。</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b/>
          <w:color w:val="auto"/>
          <w:sz w:val="24"/>
        </w:rPr>
        <w:t xml:space="preserve"> 主要内容：</w:t>
      </w:r>
      <w:r>
        <w:rPr>
          <w:rFonts w:hint="eastAsia" w:ascii="宋体" w:hAnsi="宋体" w:eastAsia="宋体" w:cs="宋体"/>
          <w:color w:val="auto"/>
          <w:sz w:val="24"/>
        </w:rPr>
        <w:t xml:space="preserve">通过钳工实训，主要讲解锉、锯、錾、钻扩铰孔、画线、测量的工艺方法。熟悉钳工各项基本操作方法及所用工、卡、量具。掌握锉、锯、錾、钻扩铰孔的基本加工方法。教学中要求以具体作品（如简易榔头）为教学对象，讲清工艺路线、工艺方法。    </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rPr>
      </w:pPr>
      <w:r>
        <w:rPr>
          <w:rFonts w:hint="eastAsia" w:ascii="宋体" w:hAnsi="宋体" w:eastAsia="宋体" w:cs="宋体"/>
          <w:b/>
          <w:color w:val="auto"/>
          <w:sz w:val="24"/>
        </w:rPr>
        <w:t>教学要求：</w:t>
      </w:r>
      <w:r>
        <w:rPr>
          <w:rFonts w:hint="eastAsia" w:ascii="宋体" w:hAnsi="宋体" w:eastAsia="宋体" w:cs="宋体"/>
          <w:color w:val="auto"/>
          <w:sz w:val="24"/>
        </w:rPr>
        <w:t>通过该课程的学习，培养学生具备钳工职业、岗位或工种的实际工作能力；具备在钳工工作岗位上所必需的相关知识、技术标准、工作规范等。掌握机械零件的基本钳工加工方法、学会制定零件机械加工工艺规程的方法和零件基本几何尺寸测量等技能。</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16</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lang w:eastAsia="zh-CN"/>
        </w:rPr>
        <w:t>电焊</w:t>
      </w:r>
      <w:r>
        <w:rPr>
          <w:rFonts w:hint="eastAsia" w:ascii="宋体" w:hAnsi="宋体" w:eastAsia="宋体" w:cs="宋体"/>
          <w:b/>
          <w:bCs/>
          <w:color w:val="auto"/>
          <w:sz w:val="24"/>
        </w:rPr>
        <w:t>实训</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b/>
          <w:color w:val="auto"/>
          <w:sz w:val="24"/>
        </w:rPr>
        <w:t xml:space="preserve"> </w:t>
      </w:r>
      <w:r>
        <w:rPr>
          <w:rFonts w:hint="eastAsia" w:ascii="宋体" w:hAnsi="宋体" w:eastAsia="宋体" w:cs="宋体"/>
          <w:b/>
          <w:color w:val="auto"/>
          <w:sz w:val="24"/>
          <w:lang w:eastAsia="zh-CN"/>
        </w:rPr>
        <w:t>教学目标</w:t>
      </w:r>
      <w:r>
        <w:rPr>
          <w:rFonts w:hint="eastAsia" w:ascii="宋体" w:hAnsi="宋体" w:eastAsia="宋体" w:cs="宋体"/>
          <w:b/>
          <w:color w:val="auto"/>
          <w:sz w:val="24"/>
        </w:rPr>
        <w:t>：</w:t>
      </w:r>
      <w:r>
        <w:rPr>
          <w:rFonts w:hint="eastAsia" w:ascii="宋体" w:hAnsi="宋体" w:eastAsia="宋体" w:cs="宋体"/>
          <w:color w:val="auto"/>
          <w:sz w:val="24"/>
        </w:rPr>
        <w:t>通过</w:t>
      </w:r>
      <w:r>
        <w:rPr>
          <w:rFonts w:hint="eastAsia" w:ascii="宋体" w:hAnsi="宋体" w:eastAsia="宋体" w:cs="宋体"/>
          <w:color w:val="auto"/>
          <w:sz w:val="24"/>
          <w:lang w:eastAsia="zh-CN"/>
        </w:rPr>
        <w:t>电焊</w:t>
      </w:r>
      <w:r>
        <w:rPr>
          <w:rFonts w:hint="eastAsia" w:ascii="宋体" w:hAnsi="宋体" w:eastAsia="宋体" w:cs="宋体"/>
          <w:color w:val="auto"/>
          <w:sz w:val="24"/>
        </w:rPr>
        <w:t>实训，要求了解</w:t>
      </w:r>
      <w:r>
        <w:rPr>
          <w:rFonts w:hint="eastAsia" w:ascii="宋体" w:hAnsi="宋体" w:eastAsia="宋体" w:cs="宋体"/>
          <w:color w:val="auto"/>
          <w:sz w:val="24"/>
          <w:lang w:eastAsia="zh-CN"/>
        </w:rPr>
        <w:t>焊接</w:t>
      </w:r>
      <w:r>
        <w:rPr>
          <w:rFonts w:hint="eastAsia" w:ascii="宋体" w:hAnsi="宋体" w:eastAsia="宋体" w:cs="宋体"/>
          <w:color w:val="auto"/>
          <w:sz w:val="24"/>
        </w:rPr>
        <w:t>的基本知识，使学生了解</w:t>
      </w:r>
      <w:r>
        <w:rPr>
          <w:rFonts w:hint="eastAsia" w:ascii="宋体" w:hAnsi="宋体" w:eastAsia="宋体" w:cs="宋体"/>
          <w:color w:val="auto"/>
          <w:sz w:val="24"/>
          <w:lang w:eastAsia="zh-CN"/>
        </w:rPr>
        <w:t>焊接</w:t>
      </w:r>
      <w:r>
        <w:rPr>
          <w:rFonts w:hint="eastAsia" w:ascii="宋体" w:hAnsi="宋体" w:eastAsia="宋体" w:cs="宋体"/>
          <w:color w:val="auto"/>
          <w:sz w:val="24"/>
        </w:rPr>
        <w:t>的一般操作技能。从而加深对机械制造一般过程和机械基础知识的认识，实训过程注意培养学生理论联系实际、经济观念和生产质量观,以及遵守安全技术操作，热爱劳动，爱护公物等基本素质。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b/>
          <w:color w:val="auto"/>
          <w:sz w:val="24"/>
        </w:rPr>
        <w:t xml:space="preserve"> 主要内容：</w:t>
      </w:r>
      <w:r>
        <w:rPr>
          <w:rFonts w:hint="eastAsia" w:ascii="宋体" w:hAnsi="宋体" w:eastAsia="宋体" w:cs="宋体"/>
          <w:color w:val="auto"/>
          <w:sz w:val="24"/>
        </w:rPr>
        <w:t>学生通过系统的学习焊接基础理论，焊接安全与防护，焊接设备的认识，焊接方法的分类，不同焊接工作操作的正确规范运用，对设备，场地，器材熟悉了解掌握等等，实训课题主要以手工电弧焊为主的初级技能由浅入深的专业技能训练，能够了解掌握气焊，气割，氩弧焊等焊接方法的实际应用</w:t>
      </w:r>
      <w:r>
        <w:rPr>
          <w:rFonts w:hint="eastAsia" w:ascii="宋体" w:hAnsi="宋体" w:eastAsia="宋体" w:cs="宋体"/>
          <w:color w:val="auto"/>
          <w:sz w:val="24"/>
          <w:lang w:val="en-US" w:eastAsia="zh-CN"/>
        </w:rPr>
        <w:t>.</w:t>
      </w:r>
      <w:r>
        <w:rPr>
          <w:rFonts w:hint="eastAsia" w:ascii="宋体" w:hAnsi="宋体" w:eastAsia="宋体" w:cs="宋体"/>
          <w:color w:val="auto"/>
          <w:sz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rPr>
      </w:pPr>
      <w:r>
        <w:rPr>
          <w:rFonts w:hint="eastAsia" w:ascii="宋体" w:hAnsi="宋体" w:eastAsia="宋体" w:cs="宋体"/>
          <w:b/>
          <w:color w:val="auto"/>
          <w:sz w:val="24"/>
        </w:rPr>
        <w:t>教学要求：</w:t>
      </w:r>
      <w:r>
        <w:rPr>
          <w:rFonts w:hint="eastAsia" w:ascii="宋体" w:hAnsi="宋体" w:eastAsia="宋体" w:cs="宋体"/>
          <w:color w:val="auto"/>
          <w:sz w:val="24"/>
        </w:rPr>
        <w:t>学生通过焊接技能实习，使之掌握焊条电弧焊基本知识和操作技术，能进行常用结构钢简单的焊接，能正确使用和保养焊接设备，掌握焊工安全操作规程和焊接工艺，逐步培养独立的焊接工作能力。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lang w:eastAsia="zh-CN"/>
        </w:rPr>
        <w:t>（</w:t>
      </w:r>
      <w:r>
        <w:rPr>
          <w:rFonts w:hint="eastAsia" w:ascii="宋体" w:hAnsi="宋体" w:eastAsia="宋体" w:cs="宋体"/>
          <w:b/>
          <w:bCs/>
          <w:color w:val="auto"/>
          <w:sz w:val="24"/>
          <w:lang w:val="en-US" w:eastAsia="zh-CN"/>
        </w:rPr>
        <w:t>17</w:t>
      </w:r>
      <w:r>
        <w:rPr>
          <w:rFonts w:hint="eastAsia" w:ascii="宋体" w:hAnsi="宋体" w:eastAsia="宋体" w:cs="宋体"/>
          <w:b/>
          <w:bCs/>
          <w:color w:val="auto"/>
          <w:sz w:val="24"/>
          <w:lang w:eastAsia="zh-CN"/>
        </w:rPr>
        <w:t>）</w:t>
      </w:r>
      <w:r>
        <w:rPr>
          <w:rFonts w:hint="eastAsia" w:ascii="宋体" w:hAnsi="宋体" w:eastAsia="宋体" w:cs="宋体"/>
          <w:b/>
          <w:bCs/>
          <w:color w:val="auto"/>
          <w:sz w:val="24"/>
          <w:szCs w:val="24"/>
        </w:rPr>
        <w:t>机械加工实训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b/>
          <w:color w:val="auto"/>
          <w:sz w:val="24"/>
          <w:szCs w:val="24"/>
          <w:lang w:eastAsia="zh-CN"/>
        </w:rPr>
        <w:t>教学目标</w:t>
      </w:r>
      <w:r>
        <w:rPr>
          <w:rFonts w:hint="eastAsia" w:ascii="宋体" w:hAnsi="宋体" w:eastAsia="宋体" w:cs="宋体"/>
          <w:b/>
          <w:color w:val="auto"/>
          <w:sz w:val="24"/>
          <w:szCs w:val="24"/>
        </w:rPr>
        <w:t>：</w:t>
      </w:r>
      <w:r>
        <w:rPr>
          <w:rFonts w:hint="eastAsia" w:ascii="宋体" w:hAnsi="宋体" w:eastAsia="宋体" w:cs="宋体"/>
          <w:color w:val="auto"/>
          <w:sz w:val="24"/>
          <w:szCs w:val="24"/>
        </w:rPr>
        <w:t>通过该课程的学习，了解和掌握机械加工的相关知识，熟练使用车床，通过训练能独立完成基本课题并熟练加工常用零件，达到国家《车工职业标准》中车工中级工的水平。</w:t>
      </w:r>
    </w:p>
    <w:p>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lang w:eastAsia="zh-CN"/>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机加工实习主要讲解金属切削加工基本原理、金属切削机床的工作原理，教学中以车削加工为主，车刀及工件的安装；车刀的角度及其刃磨；常用量具的使用；车外圆、端面和台阶；切断和车外沟槽；三角螺纹等，使学生具备对简单零件有初步的选择加工方式和进行工艺分析的能力，具有车工的基本技能</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并获得</w:t>
      </w:r>
      <w:r>
        <w:rPr>
          <w:rFonts w:hint="eastAsia" w:ascii="宋体" w:hAnsi="宋体" w:eastAsia="宋体" w:cs="宋体"/>
          <w:color w:val="auto"/>
          <w:sz w:val="24"/>
          <w:szCs w:val="24"/>
          <w:lang w:eastAsia="zh-CN"/>
        </w:rPr>
        <w:t>车工</w:t>
      </w:r>
      <w:r>
        <w:rPr>
          <w:rFonts w:hint="eastAsia" w:ascii="宋体" w:hAnsi="宋体" w:eastAsia="宋体" w:cs="宋体"/>
          <w:color w:val="auto"/>
          <w:sz w:val="24"/>
          <w:szCs w:val="24"/>
        </w:rPr>
        <w:t>中级技术等级考证</w:t>
      </w:r>
      <w:r>
        <w:rPr>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eastAsia="zh-CN"/>
        </w:rPr>
        <w:t>教学要求：</w:t>
      </w:r>
      <w:r>
        <w:rPr>
          <w:rFonts w:hint="eastAsia" w:ascii="宋体" w:hAnsi="宋体" w:eastAsia="宋体" w:cs="宋体"/>
          <w:color w:val="auto"/>
          <w:sz w:val="24"/>
          <w:szCs w:val="24"/>
        </w:rPr>
        <w:t>要求熟练掌握金属切削机床操作、编制工艺规程、选择刀具、切削速度、切削用量、会进行刀具的刃磨，同时结合创新技能培训项目，使学生具备普通车床中级职业操作技能。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18</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数控加工实训</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过该课程的学习，培养学生对机械设计与制造专业数控机床编程和操作具有一定的认知能力，具有一定发现问题、分析问题、解决问题的能力，具有数控机床操作、编程和工艺方面的信息搜集能力和知识获取的能力。</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数控机床安全要求；数控车床的基本操作、单一固定循环加工；车削螺纹加工；数控铣床的基本操作；直槽、圆弧槽的加工；内、外轮廓的编程加工；孔系的编程加工；简单三维曲面的加工等。</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教学要求：</w:t>
      </w:r>
      <w:r>
        <w:rPr>
          <w:rFonts w:hint="eastAsia" w:ascii="宋体" w:hAnsi="宋体" w:eastAsia="宋体" w:cs="宋体"/>
          <w:color w:val="auto"/>
          <w:sz w:val="24"/>
          <w:szCs w:val="24"/>
        </w:rPr>
        <w:t>通过该实训课程的学习，培养学生具备数控设备操作职业、岗位或工种的实际工作能力；具备在数控设备操作工作岗位上所必需的相关知识、技术标准、工作规范等。掌握数控设备的操作、数控编程等技能。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19</w:t>
      </w:r>
      <w:r>
        <w:rPr>
          <w:rFonts w:hint="eastAsia" w:ascii="宋体" w:hAnsi="宋体" w:eastAsia="宋体" w:cs="宋体"/>
          <w:b/>
          <w:bCs/>
          <w:color w:val="auto"/>
          <w:sz w:val="24"/>
          <w:szCs w:val="24"/>
          <w:lang w:eastAsia="zh-CN"/>
        </w:rPr>
        <w:t>）机械拆装实训</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用机械设备拆装实训是机械类专业学生的主要课程，是机械制造与自动化专业的核心专业课程。通过该课程的学习，培养学生对机械设备、工具、耗材、场地有一定的认知能力，通过设备与零件拆装训练，提高学生动手能力和应变能力。掌握机械拆装工作过程（包括工具的认识、零件的清洗、场地安全）的基本知识。充分利用该课程的实践教学环节，增强学生安全意识、纪律意识，培养学生爱岗敬业、诚实守信的良好职业道德习惯，最终达到培养学生岗位职业素养目标。</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本课程通过实践教学方式，使学生掌握机械拆装工作过程（包括工具的认识、零件的清洗、场地安全）的基本知识。掌握机械拆装技能；并运用于实际项目中；本课程学习主要内容有简单的机械零件测绘、减速器拆装、机床部件的拆装。通过以上内容的学习以提高学生实践动手能力，最终达到培养学生岗位职业素养和良好的职业风范</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教学要求：</w:t>
      </w:r>
      <w:r>
        <w:rPr>
          <w:rFonts w:hint="eastAsia" w:ascii="宋体" w:hAnsi="宋体" w:eastAsia="宋体" w:cs="宋体"/>
          <w:color w:val="auto"/>
          <w:sz w:val="24"/>
          <w:szCs w:val="24"/>
        </w:rPr>
        <w:t>通过机械拆装相关技能的训练，学会工具的使用、熟练掌握典型零部件拆装方法（包括工具的认识、零件的清洗、场地安全）的基本知识；充分利用该课程的实践教学环节，增强学生安全意识、纪律意识，最终达到培养学生岗位职业素养目标。</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kern w:val="0"/>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20</w:t>
      </w:r>
      <w:r>
        <w:rPr>
          <w:rFonts w:hint="eastAsia" w:ascii="宋体" w:hAnsi="宋体" w:eastAsia="宋体" w:cs="宋体"/>
          <w:b/>
          <w:color w:val="auto"/>
          <w:sz w:val="24"/>
          <w:szCs w:val="24"/>
          <w:lang w:eastAsia="zh-CN"/>
        </w:rPr>
        <w:t>）专业</w:t>
      </w:r>
      <w:r>
        <w:rPr>
          <w:rFonts w:hint="eastAsia" w:ascii="宋体" w:hAnsi="宋体" w:eastAsia="宋体" w:cs="宋体"/>
          <w:b/>
          <w:color w:val="auto"/>
          <w:sz w:val="24"/>
          <w:szCs w:val="24"/>
        </w:rPr>
        <w:t>综合技能训练</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校内综合技能训练是</w:t>
      </w:r>
      <w:r>
        <w:rPr>
          <w:rFonts w:hint="eastAsia" w:ascii="宋体" w:hAnsi="宋体" w:eastAsia="宋体" w:cs="宋体"/>
          <w:color w:val="auto"/>
          <w:sz w:val="24"/>
          <w:szCs w:val="24"/>
          <w:lang w:eastAsia="zh-CN"/>
        </w:rPr>
        <w:t>本</w:t>
      </w:r>
      <w:r>
        <w:rPr>
          <w:rFonts w:hint="eastAsia" w:ascii="宋体" w:hAnsi="宋体" w:eastAsia="宋体" w:cs="宋体"/>
          <w:color w:val="auto"/>
          <w:sz w:val="24"/>
          <w:szCs w:val="24"/>
        </w:rPr>
        <w:t>专业的一门</w:t>
      </w:r>
      <w:r>
        <w:rPr>
          <w:rFonts w:hint="eastAsia" w:ascii="宋体" w:hAnsi="宋体" w:eastAsia="宋体" w:cs="宋体"/>
          <w:color w:val="auto"/>
          <w:sz w:val="24"/>
          <w:szCs w:val="24"/>
          <w:lang w:eastAsia="zh-CN"/>
        </w:rPr>
        <w:t>专业</w:t>
      </w:r>
      <w:r>
        <w:rPr>
          <w:rFonts w:hint="eastAsia" w:ascii="宋体" w:hAnsi="宋体" w:eastAsia="宋体" w:cs="宋体"/>
          <w:color w:val="auto"/>
          <w:sz w:val="24"/>
          <w:szCs w:val="24"/>
        </w:rPr>
        <w:t>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旨</w:t>
      </w:r>
      <w:r>
        <w:rPr>
          <w:rFonts w:hint="eastAsia" w:ascii="宋体" w:hAnsi="宋体" w:eastAsia="宋体" w:cs="宋体"/>
          <w:color w:val="auto"/>
          <w:sz w:val="24"/>
          <w:szCs w:val="24"/>
          <w:lang w:eastAsia="zh-CN"/>
        </w:rPr>
        <w:t>在建立</w:t>
      </w:r>
      <w:r>
        <w:rPr>
          <w:rFonts w:hint="eastAsia" w:ascii="宋体" w:hAnsi="宋体" w:eastAsia="宋体" w:cs="宋体"/>
          <w:color w:val="auto"/>
          <w:sz w:val="24"/>
          <w:szCs w:val="24"/>
        </w:rPr>
        <w:t>校内综合技能训练的平台，为学生就业作准备。通过</w:t>
      </w:r>
      <w:r>
        <w:rPr>
          <w:rFonts w:hint="eastAsia" w:ascii="宋体" w:hAnsi="宋体" w:eastAsia="宋体" w:cs="宋体"/>
          <w:color w:val="auto"/>
          <w:sz w:val="24"/>
          <w:szCs w:val="24"/>
          <w:lang w:eastAsia="zh-CN"/>
        </w:rPr>
        <w:t>本</w:t>
      </w:r>
      <w:r>
        <w:rPr>
          <w:rFonts w:hint="eastAsia" w:ascii="宋体" w:hAnsi="宋体" w:eastAsia="宋体" w:cs="宋体"/>
          <w:color w:val="auto"/>
          <w:sz w:val="24"/>
          <w:szCs w:val="24"/>
        </w:rPr>
        <w:t>课程的学习，培养学生具备机修钳工操作职业、岗位或工种的实际工作能力，具备在设备维修工作岗位上所必需的相关知识、技术标准、工作规范等。</w:t>
      </w:r>
      <w:r>
        <w:rPr>
          <w:rFonts w:hint="eastAsia" w:ascii="宋体" w:hAnsi="宋体" w:eastAsia="宋体" w:cs="宋体"/>
          <w:color w:val="auto"/>
          <w:sz w:val="24"/>
          <w:szCs w:val="24"/>
          <w:lang w:eastAsia="zh-CN"/>
        </w:rPr>
        <w:t>使学生进一步</w:t>
      </w:r>
      <w:r>
        <w:rPr>
          <w:rFonts w:hint="eastAsia" w:ascii="宋体" w:hAnsi="宋体" w:eastAsia="宋体" w:cs="宋体"/>
          <w:color w:val="auto"/>
          <w:sz w:val="24"/>
          <w:szCs w:val="24"/>
        </w:rPr>
        <w:t>掌握</w:t>
      </w:r>
      <w:r>
        <w:rPr>
          <w:rFonts w:hint="eastAsia" w:ascii="宋体" w:hAnsi="宋体" w:eastAsia="宋体" w:cs="宋体"/>
          <w:color w:val="auto"/>
          <w:sz w:val="24"/>
          <w:szCs w:val="24"/>
          <w:lang w:eastAsia="zh-CN"/>
        </w:rPr>
        <w:t>和提高在</w:t>
      </w:r>
      <w:r>
        <w:rPr>
          <w:rFonts w:hint="eastAsia" w:ascii="宋体" w:hAnsi="宋体" w:eastAsia="宋体" w:cs="宋体"/>
          <w:color w:val="auto"/>
          <w:sz w:val="24"/>
          <w:szCs w:val="24"/>
        </w:rPr>
        <w:t>焊接、液压、常用机</w:t>
      </w:r>
      <w:r>
        <w:rPr>
          <w:rFonts w:hint="eastAsia" w:ascii="宋体" w:hAnsi="宋体" w:eastAsia="宋体" w:cs="宋体"/>
          <w:color w:val="auto"/>
          <w:sz w:val="24"/>
          <w:szCs w:val="24"/>
          <w:lang w:eastAsia="zh-CN"/>
        </w:rPr>
        <w:t>械结构</w:t>
      </w:r>
      <w:r>
        <w:rPr>
          <w:rFonts w:hint="eastAsia" w:ascii="宋体" w:hAnsi="宋体" w:eastAsia="宋体" w:cs="宋体"/>
          <w:color w:val="auto"/>
          <w:sz w:val="24"/>
          <w:szCs w:val="24"/>
        </w:rPr>
        <w:t>设计、AutoCAD绘图操作等</w:t>
      </w:r>
      <w:r>
        <w:rPr>
          <w:rFonts w:hint="eastAsia" w:ascii="宋体" w:hAnsi="宋体" w:eastAsia="宋体" w:cs="宋体"/>
          <w:color w:val="auto"/>
          <w:sz w:val="24"/>
          <w:szCs w:val="24"/>
          <w:lang w:eastAsia="zh-CN"/>
        </w:rPr>
        <w:t>方面的</w:t>
      </w:r>
      <w:r>
        <w:rPr>
          <w:rFonts w:hint="eastAsia" w:ascii="宋体" w:hAnsi="宋体" w:eastAsia="宋体" w:cs="宋体"/>
          <w:color w:val="auto"/>
          <w:sz w:val="24"/>
          <w:szCs w:val="24"/>
        </w:rPr>
        <w:t>技能。</w:t>
      </w:r>
      <w:r>
        <w:rPr>
          <w:rFonts w:hint="eastAsia" w:ascii="宋体" w:hAnsi="宋体" w:eastAsia="宋体" w:cs="宋体"/>
          <w:color w:val="auto"/>
          <w:sz w:val="24"/>
          <w:szCs w:val="24"/>
          <w:lang w:eastAsia="zh-CN"/>
        </w:rPr>
        <w:t>同时培养学生爱岗敬业、诚实守信、团队协作的良好职业道德和敬业精神。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lang w:eastAsia="zh-CN"/>
        </w:rPr>
        <w:t>本课程共分为四个训练模块。综合技能训练一：机构设计基础课程设计，包括一级齿轮减速器的设计准备工作、总体设计、传动件的设计计算、装配草图的绘制、装配图的绘制、零件工作图的绘制、编写设计说明书；综合技能训练二：AutoCAD绘图操作实训，包括Auto CAD基本操作、零件图绘制、装配配图的绘制；综合技能训练三：液压操作技能训练，包括液压元件拆装操作要求和现场安全教育、液压基本回路装调一、液压基本回路装调二、液压基本回路装调三、、液压基本回路装调四、液压基本回路装调五、典型液压系统回路设计和组装、气压基本回路装调；综合技能训练四：焊接技能训练，包括焊工安全文明生产教育、手工电弧焊的立焊、仰焊操作、等离子切割操作、直流氩弧焊操作、交流氩弧焊操作、二氧化碳气体保护焊操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lang w:eastAsia="zh-CN"/>
        </w:rPr>
        <w:t>通过本课程学习，使学生熟悉液压系统的安装与调试、焊接、简单机械结构设计、AutoCAD绘图等的基本知识，进一步拓展学生在液压、焊接、机械设计、计算机绘图等方面的技能水平。教学过程中，可灵活采取案例、云课堂等辅助教学，鼓励学生积极动手、勤于思考，充分发挥学生的主观能动性，培养学生的自信心和严谨的工作精神。</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21</w:t>
      </w:r>
      <w:r>
        <w:rPr>
          <w:rFonts w:hint="eastAsia" w:ascii="宋体" w:hAnsi="宋体" w:eastAsia="宋体" w:cs="宋体"/>
          <w:b/>
          <w:color w:val="auto"/>
          <w:sz w:val="24"/>
          <w:szCs w:val="24"/>
          <w:lang w:eastAsia="zh-CN"/>
        </w:rPr>
        <w:t>）顶岗实习</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顶岗实习是本专业一门重要的专业实训课，是学生就业前的准备。为进一步落实“以立德树人为根本，以服务发展为宗旨，以促进就业为导向，坚持走内涵式发展道路；以增强学生就业创业能力为核心，加强思想道德、人文素养教育和技术技能培养，全面提高人才培养质量”的办学要求，更好地实施工学结合的人才培养模式，通过顶岗实习，使学生能够将所学专业知识和技术技能与生产实际相结合，增强学生社会责任感、创新精神和实践能力，从根本上提高技术技能人才培养质量和就业创业能力。</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lang w:eastAsia="zh-CN"/>
        </w:rPr>
        <w:t>顶岗实习是指学生初步具备实践岗位独立工作能力，到实习单位相关岗位独立参与实际工作的活动。由学校统一安排到实习单位从事生产实践活动。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lang w:eastAsia="zh-CN"/>
        </w:rPr>
        <w:t>与实习单位共同制订实习计划，明确实习目标、实习任务、考核标准等，并在学生实习前通过培训会的方式对学生进行培训。由学院统一组织安排实习企业。安排指导教师全程跟踪了解、指导实习情况。在实习期间，校内指导教师要以现场巡查、电话或网络、信息化系统等方式检查学生实习情况，每周检查不少于一次，并填写检查记录。及时了解、掌握及检查学生完成实习的情况，指导学生撰写实习周记、实习报告等。对在实习中违反纪律且情节严重的学生，指导教师要对其进行批评教育，并及时向系实习领导小组汇报。检查批阅学生实习记录，督促学生全面完成实习任务。</w:t>
      </w:r>
    </w:p>
    <w:p>
      <w:pPr>
        <w:keepNext w:val="0"/>
        <w:keepLines w:val="0"/>
        <w:pageBreakBefore w:val="0"/>
        <w:widowControl w:val="0"/>
        <w:kinsoku/>
        <w:wordWrap/>
        <w:overflowPunct/>
        <w:topLinePunct w:val="0"/>
        <w:autoSpaceDE/>
        <w:autoSpaceDN/>
        <w:bidi w:val="0"/>
        <w:adjustRightInd/>
        <w:snapToGrid/>
        <w:spacing w:line="360" w:lineRule="auto"/>
        <w:ind w:firstLine="424" w:firstLineChars="177"/>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24" w:firstLineChars="177"/>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24" w:firstLineChars="177"/>
        <w:textAlignment w:val="auto"/>
        <w:rPr>
          <w:rFonts w:hint="eastAsia" w:ascii="宋体" w:hAnsi="宋体" w:eastAsia="宋体" w:cs="宋体"/>
          <w:color w:val="auto"/>
          <w:sz w:val="24"/>
          <w:szCs w:val="24"/>
        </w:rPr>
      </w:pPr>
    </w:p>
    <w:p>
      <w:pPr>
        <w:adjustRightInd w:val="0"/>
        <w:spacing w:line="560" w:lineRule="exact"/>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专业相关的实践能力要求</w:t>
      </w:r>
    </w:p>
    <w:tbl>
      <w:tblPr>
        <w:tblStyle w:val="11"/>
        <w:tblW w:w="9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090"/>
        <w:gridCol w:w="3660"/>
        <w:gridCol w:w="1290"/>
        <w:gridCol w:w="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959"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3090" w:type="dxa"/>
            <w:vAlign w:val="center"/>
          </w:tcPr>
          <w:p>
            <w:pPr>
              <w:ind w:left="560"/>
              <w:jc w:val="center"/>
              <w:rPr>
                <w:rFonts w:hint="eastAsia" w:ascii="宋体" w:hAnsi="宋体" w:eastAsia="宋体" w:cs="宋体"/>
                <w:color w:val="auto"/>
                <w:sz w:val="24"/>
                <w:szCs w:val="24"/>
              </w:rPr>
            </w:pPr>
            <w:r>
              <w:rPr>
                <w:rFonts w:hint="eastAsia" w:ascii="宋体" w:hAnsi="宋体" w:eastAsia="宋体" w:cs="宋体"/>
                <w:color w:val="auto"/>
                <w:sz w:val="24"/>
                <w:szCs w:val="24"/>
              </w:rPr>
              <w:t>证书名称</w:t>
            </w:r>
          </w:p>
        </w:tc>
        <w:tc>
          <w:tcPr>
            <w:tcW w:w="3660"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颁证单位</w:t>
            </w:r>
          </w:p>
        </w:tc>
        <w:tc>
          <w:tcPr>
            <w:tcW w:w="1290"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等级</w:t>
            </w:r>
          </w:p>
        </w:tc>
        <w:tc>
          <w:tcPr>
            <w:tcW w:w="989"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3090" w:type="dxa"/>
            <w:vAlign w:val="center"/>
          </w:tcPr>
          <w:p>
            <w:pPr>
              <w:jc w:val="both"/>
              <w:rPr>
                <w:rFonts w:hint="eastAsia" w:ascii="宋体" w:hAnsi="宋体" w:eastAsia="宋体" w:cs="宋体"/>
                <w:color w:val="auto"/>
                <w:sz w:val="24"/>
                <w:szCs w:val="24"/>
              </w:rPr>
            </w:pPr>
            <w:r>
              <w:rPr>
                <w:rFonts w:hint="eastAsia" w:ascii="宋体" w:hAnsi="宋体" w:eastAsia="宋体" w:cs="宋体"/>
                <w:color w:val="auto"/>
                <w:sz w:val="24"/>
                <w:szCs w:val="24"/>
              </w:rPr>
              <w:t>普通车床操作工</w:t>
            </w:r>
          </w:p>
        </w:tc>
        <w:tc>
          <w:tcPr>
            <w:tcW w:w="366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29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w:t>
            </w:r>
          </w:p>
        </w:tc>
        <w:tc>
          <w:tcPr>
            <w:tcW w:w="989"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3090" w:type="dxa"/>
            <w:vAlign w:val="center"/>
          </w:tcPr>
          <w:p>
            <w:pPr>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钳工</w:t>
            </w:r>
          </w:p>
        </w:tc>
        <w:tc>
          <w:tcPr>
            <w:tcW w:w="366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29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w:t>
            </w:r>
          </w:p>
        </w:tc>
        <w:tc>
          <w:tcPr>
            <w:tcW w:w="989"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3090" w:type="dxa"/>
            <w:vAlign w:val="center"/>
          </w:tcPr>
          <w:p>
            <w:pPr>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焊工</w:t>
            </w:r>
          </w:p>
        </w:tc>
        <w:tc>
          <w:tcPr>
            <w:tcW w:w="366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29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w:t>
            </w:r>
          </w:p>
        </w:tc>
        <w:tc>
          <w:tcPr>
            <w:tcW w:w="989"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3090" w:type="dxa"/>
            <w:vAlign w:val="center"/>
          </w:tcPr>
          <w:p>
            <w:pPr>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三维</w:t>
            </w:r>
            <w:r>
              <w:rPr>
                <w:rFonts w:hint="eastAsia" w:ascii="宋体" w:hAnsi="宋体" w:eastAsia="宋体" w:cs="宋体"/>
                <w:color w:val="auto"/>
                <w:sz w:val="24"/>
                <w:szCs w:val="24"/>
                <w:lang w:val="en-US" w:eastAsia="zh-CN"/>
              </w:rPr>
              <w:t>CAD绘图</w:t>
            </w:r>
            <w:r>
              <w:rPr>
                <w:rFonts w:hint="eastAsia" w:ascii="宋体" w:hAnsi="宋体" w:eastAsia="宋体" w:cs="宋体"/>
                <w:color w:val="auto"/>
                <w:sz w:val="24"/>
                <w:szCs w:val="24"/>
                <w:lang w:eastAsia="zh-CN"/>
              </w:rPr>
              <w:t>专项职业能力</w:t>
            </w:r>
          </w:p>
        </w:tc>
        <w:tc>
          <w:tcPr>
            <w:tcW w:w="366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290" w:type="dxa"/>
            <w:vAlign w:val="center"/>
          </w:tcPr>
          <w:p>
            <w:pPr>
              <w:ind w:left="560"/>
              <w:jc w:val="center"/>
              <w:rPr>
                <w:rFonts w:hint="eastAsia" w:ascii="宋体" w:hAnsi="宋体" w:eastAsia="宋体" w:cs="宋体"/>
                <w:color w:val="auto"/>
                <w:sz w:val="24"/>
                <w:szCs w:val="24"/>
              </w:rPr>
            </w:pPr>
          </w:p>
        </w:tc>
        <w:tc>
          <w:tcPr>
            <w:tcW w:w="989"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3090" w:type="dxa"/>
            <w:vAlign w:val="center"/>
          </w:tcPr>
          <w:p>
            <w:pPr>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数控铣计算机辅助编程专项职业能力</w:t>
            </w:r>
          </w:p>
        </w:tc>
        <w:tc>
          <w:tcPr>
            <w:tcW w:w="366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290" w:type="dxa"/>
            <w:vAlign w:val="center"/>
          </w:tcPr>
          <w:p>
            <w:pPr>
              <w:ind w:left="560"/>
              <w:jc w:val="center"/>
              <w:rPr>
                <w:rFonts w:hint="eastAsia" w:ascii="宋体" w:hAnsi="宋体" w:eastAsia="宋体" w:cs="宋体"/>
                <w:color w:val="auto"/>
                <w:sz w:val="24"/>
                <w:szCs w:val="24"/>
              </w:rPr>
            </w:pPr>
          </w:p>
        </w:tc>
        <w:tc>
          <w:tcPr>
            <w:tcW w:w="989"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w:t>
            </w:r>
          </w:p>
        </w:tc>
        <w:tc>
          <w:tcPr>
            <w:tcW w:w="3090" w:type="dxa"/>
            <w:vAlign w:val="center"/>
          </w:tcPr>
          <w:p>
            <w:pPr>
              <w:spacing w:line="360" w:lineRule="auto"/>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rPr>
              <w:t>UG三维应用工程师</w:t>
            </w:r>
          </w:p>
        </w:tc>
        <w:tc>
          <w:tcPr>
            <w:tcW w:w="3660" w:type="dxa"/>
            <w:vAlign w:val="top"/>
          </w:tcPr>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科技部国家制造业信息化培训中心或企业认证</w:t>
            </w:r>
          </w:p>
        </w:tc>
        <w:tc>
          <w:tcPr>
            <w:tcW w:w="1290" w:type="dxa"/>
            <w:vAlign w:val="center"/>
          </w:tcPr>
          <w:p>
            <w:pPr>
              <w:ind w:left="560"/>
              <w:jc w:val="center"/>
              <w:rPr>
                <w:rFonts w:hint="eastAsia" w:ascii="宋体" w:hAnsi="宋体" w:eastAsia="宋体" w:cs="宋体"/>
                <w:color w:val="auto"/>
                <w:sz w:val="24"/>
                <w:szCs w:val="24"/>
              </w:rPr>
            </w:pPr>
          </w:p>
        </w:tc>
        <w:tc>
          <w:tcPr>
            <w:tcW w:w="989"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w:t>
            </w:r>
          </w:p>
        </w:tc>
        <w:tc>
          <w:tcPr>
            <w:tcW w:w="3090" w:type="dxa"/>
            <w:vAlign w:val="center"/>
          </w:tcPr>
          <w:p>
            <w:pPr>
              <w:spacing w:line="360" w:lineRule="auto"/>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rPr>
              <w:t>AutoCAD绘图员</w:t>
            </w:r>
          </w:p>
        </w:tc>
        <w:tc>
          <w:tcPr>
            <w:tcW w:w="3660" w:type="dxa"/>
            <w:vAlign w:val="top"/>
          </w:tcPr>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科技部国家制造业信息化培训中心或企业认证</w:t>
            </w:r>
          </w:p>
        </w:tc>
        <w:tc>
          <w:tcPr>
            <w:tcW w:w="1290" w:type="dxa"/>
            <w:vAlign w:val="center"/>
          </w:tcPr>
          <w:p>
            <w:pPr>
              <w:ind w:left="560"/>
              <w:jc w:val="center"/>
              <w:rPr>
                <w:rFonts w:hint="eastAsia" w:ascii="宋体" w:hAnsi="宋体" w:eastAsia="宋体" w:cs="宋体"/>
                <w:color w:val="auto"/>
                <w:sz w:val="24"/>
                <w:szCs w:val="24"/>
              </w:rPr>
            </w:pPr>
          </w:p>
        </w:tc>
        <w:tc>
          <w:tcPr>
            <w:tcW w:w="989" w:type="dxa"/>
            <w:vAlign w:val="center"/>
          </w:tcPr>
          <w:p>
            <w:pPr>
              <w:jc w:val="center"/>
              <w:rPr>
                <w:rFonts w:hint="eastAsia" w:ascii="宋体" w:hAnsi="宋体" w:eastAsia="宋体" w:cs="宋体"/>
                <w:color w:val="auto"/>
                <w:sz w:val="24"/>
                <w:szCs w:val="24"/>
              </w:rPr>
            </w:pPr>
          </w:p>
        </w:tc>
      </w:tr>
    </w:tbl>
    <w:p>
      <w:pPr>
        <w:spacing w:line="360" w:lineRule="auto"/>
        <w:ind w:firstLine="480"/>
        <w:rPr>
          <w:rFonts w:hint="eastAsia" w:ascii="宋体" w:hAnsi="宋体"/>
          <w:color w:val="auto"/>
          <w:sz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ascii="黑体" w:hAnsi="黑体" w:eastAsia="黑体"/>
          <w:b/>
          <w:color w:val="auto"/>
          <w:sz w:val="24"/>
          <w:szCs w:val="24"/>
        </w:rPr>
      </w:pPr>
      <w:r>
        <w:rPr>
          <w:rFonts w:hint="eastAsia" w:ascii="宋体" w:hAnsi="宋体"/>
          <w:b/>
          <w:bCs/>
          <w:color w:val="auto"/>
          <w:sz w:val="24"/>
          <w:lang w:eastAsia="zh-CN"/>
        </w:rPr>
        <w:t>（二）学时安排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sz w:val="24"/>
          <w:szCs w:val="24"/>
          <w:lang w:eastAsia="zh-CN"/>
        </w:rPr>
        <w:sectPr>
          <w:pgSz w:w="11906" w:h="16838"/>
          <w:pgMar w:top="1247" w:right="1247" w:bottom="1247" w:left="1247" w:header="851" w:footer="992" w:gutter="0"/>
          <w:cols w:space="425" w:num="1"/>
          <w:docGrid w:type="lines" w:linePitch="312" w:charSpace="0"/>
        </w:sectPr>
      </w:pPr>
      <w:r>
        <w:rPr>
          <w:rFonts w:hint="eastAsia" w:ascii="宋体" w:hAnsi="宋体" w:eastAsia="宋体" w:cs="宋体"/>
          <w:color w:val="auto"/>
          <w:sz w:val="24"/>
        </w:rPr>
        <w:t>每学年安排40周教学活动，总学时数不低于2500，公共基础课程学时应当不少于总学时的1/4。选修课教学时数占总学时的比例均应当不少于10%。实践性教学学时原则上占总学时数50%以上。学分计算时按照理论课16学时/学分计算，实践课（环节）2</w:t>
      </w:r>
      <w:r>
        <w:rPr>
          <w:rFonts w:hint="eastAsia" w:ascii="宋体" w:hAnsi="宋体" w:eastAsia="宋体" w:cs="宋体"/>
          <w:color w:val="auto"/>
          <w:sz w:val="24"/>
          <w:lang w:val="en-US" w:eastAsia="zh-CN"/>
        </w:rPr>
        <w:t>4</w:t>
      </w:r>
      <w:r>
        <w:rPr>
          <w:rFonts w:hint="eastAsia" w:ascii="宋体" w:hAnsi="宋体" w:eastAsia="宋体" w:cs="宋体"/>
          <w:color w:val="auto"/>
          <w:sz w:val="24"/>
        </w:rPr>
        <w:t>学时/学分或每周1学分计算。</w:t>
      </w:r>
    </w:p>
    <w:p>
      <w:pPr>
        <w:numPr>
          <w:ilvl w:val="0"/>
          <w:numId w:val="2"/>
        </w:numPr>
        <w:adjustRightInd w:val="0"/>
        <w:spacing w:line="560" w:lineRule="exact"/>
        <w:rPr>
          <w:rFonts w:ascii="黑体" w:hAnsi="黑体" w:eastAsia="黑体"/>
          <w:b/>
          <w:color w:val="auto"/>
          <w:sz w:val="24"/>
          <w:szCs w:val="24"/>
        </w:rPr>
      </w:pPr>
      <w:r>
        <w:rPr>
          <w:rFonts w:ascii="黑体" w:hAnsi="黑体" w:eastAsia="黑体"/>
          <w:b/>
          <w:color w:val="auto"/>
          <w:sz w:val="24"/>
          <w:szCs w:val="24"/>
        </w:rPr>
        <w:t>教学进程总体安排</w:t>
      </w:r>
    </w:p>
    <w:tbl>
      <w:tblPr>
        <w:tblStyle w:val="11"/>
        <w:tblW w:w="1177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课程类别</w:t>
            </w:r>
          </w:p>
        </w:tc>
        <w:tc>
          <w:tcPr>
            <w:tcW w:w="446"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课程序号</w:t>
            </w:r>
          </w:p>
        </w:tc>
        <w:tc>
          <w:tcPr>
            <w:tcW w:w="1977" w:type="dxa"/>
            <w:vMerge w:val="restart"/>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课程名称</w:t>
            </w:r>
          </w:p>
        </w:tc>
        <w:tc>
          <w:tcPr>
            <w:tcW w:w="1925" w:type="dxa"/>
            <w:gridSpan w:val="3"/>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课时分配</w:t>
            </w:r>
          </w:p>
        </w:tc>
        <w:tc>
          <w:tcPr>
            <w:tcW w:w="659" w:type="dxa"/>
            <w:vMerge w:val="restart"/>
          </w:tcPr>
          <w:p>
            <w:pPr>
              <w:widowControl/>
              <w:jc w:val="center"/>
              <w:rPr>
                <w:rFonts w:ascii="宋体" w:hAnsi="宋体" w:cs="宋体"/>
                <w:b/>
                <w:bCs/>
                <w:color w:val="auto"/>
                <w:kern w:val="0"/>
                <w:szCs w:val="21"/>
              </w:rPr>
            </w:pPr>
          </w:p>
          <w:p>
            <w:pPr>
              <w:widowControl/>
              <w:rPr>
                <w:rFonts w:ascii="宋体" w:hAnsi="宋体" w:cs="宋体"/>
                <w:b/>
                <w:bCs/>
                <w:color w:val="auto"/>
                <w:kern w:val="0"/>
                <w:szCs w:val="21"/>
              </w:rPr>
            </w:pPr>
            <w:r>
              <w:rPr>
                <w:rFonts w:hint="eastAsia" w:ascii="宋体" w:hAnsi="宋体" w:cs="宋体"/>
                <w:b/>
                <w:bCs/>
                <w:color w:val="auto"/>
                <w:kern w:val="0"/>
                <w:szCs w:val="21"/>
              </w:rPr>
              <w:t>学</w:t>
            </w:r>
          </w:p>
          <w:p>
            <w:pPr>
              <w:widowControl/>
              <w:rPr>
                <w:rFonts w:ascii="宋体" w:hAnsi="宋体" w:cs="宋体"/>
                <w:b/>
                <w:bCs/>
                <w:color w:val="auto"/>
                <w:kern w:val="0"/>
                <w:szCs w:val="21"/>
              </w:rPr>
            </w:pPr>
            <w:r>
              <w:rPr>
                <w:rFonts w:hint="eastAsia" w:ascii="宋体" w:hAnsi="宋体" w:cs="宋体"/>
                <w:b/>
                <w:bCs/>
                <w:color w:val="auto"/>
                <w:kern w:val="0"/>
                <w:szCs w:val="21"/>
              </w:rPr>
              <w:t>分</w:t>
            </w:r>
          </w:p>
        </w:tc>
        <w:tc>
          <w:tcPr>
            <w:tcW w:w="4382" w:type="dxa"/>
            <w:gridSpan w:val="6"/>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每学期教学周数及周学时分配</w:t>
            </w:r>
          </w:p>
        </w:tc>
        <w:tc>
          <w:tcPr>
            <w:tcW w:w="1504" w:type="dxa"/>
            <w:gridSpan w:val="2"/>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auto"/>
                <w:kern w:val="0"/>
                <w:szCs w:val="21"/>
              </w:rPr>
            </w:pPr>
          </w:p>
        </w:tc>
        <w:tc>
          <w:tcPr>
            <w:tcW w:w="446" w:type="dxa"/>
            <w:vMerge w:val="continue"/>
            <w:vAlign w:val="center"/>
          </w:tcPr>
          <w:p>
            <w:pPr>
              <w:widowControl/>
              <w:jc w:val="left"/>
              <w:rPr>
                <w:rFonts w:ascii="宋体" w:cs="宋体"/>
                <w:b/>
                <w:bCs/>
                <w:color w:val="auto"/>
                <w:kern w:val="0"/>
                <w:szCs w:val="21"/>
              </w:rPr>
            </w:pPr>
          </w:p>
        </w:tc>
        <w:tc>
          <w:tcPr>
            <w:tcW w:w="1977" w:type="dxa"/>
            <w:vMerge w:val="continue"/>
            <w:vAlign w:val="center"/>
          </w:tcPr>
          <w:p>
            <w:pPr>
              <w:widowControl/>
              <w:jc w:val="left"/>
              <w:rPr>
                <w:rFonts w:ascii="宋体" w:cs="宋体"/>
                <w:b/>
                <w:bCs/>
                <w:color w:val="auto"/>
                <w:kern w:val="0"/>
                <w:szCs w:val="21"/>
              </w:rPr>
            </w:pPr>
          </w:p>
        </w:tc>
        <w:tc>
          <w:tcPr>
            <w:tcW w:w="645"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理论</w:t>
            </w:r>
          </w:p>
        </w:tc>
        <w:tc>
          <w:tcPr>
            <w:tcW w:w="640"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实践</w:t>
            </w:r>
          </w:p>
        </w:tc>
        <w:tc>
          <w:tcPr>
            <w:tcW w:w="640"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659" w:type="dxa"/>
            <w:vMerge w:val="continue"/>
          </w:tcPr>
          <w:p>
            <w:pPr>
              <w:widowControl/>
              <w:jc w:val="center"/>
              <w:rPr>
                <w:rFonts w:ascii="宋体" w:hAnsi="宋体" w:cs="宋体"/>
                <w:b/>
                <w:bCs/>
                <w:color w:val="auto"/>
                <w:kern w:val="0"/>
                <w:szCs w:val="21"/>
              </w:rPr>
            </w:pPr>
          </w:p>
        </w:tc>
        <w:tc>
          <w:tcPr>
            <w:tcW w:w="713"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一</w:t>
            </w:r>
          </w:p>
        </w:tc>
        <w:tc>
          <w:tcPr>
            <w:tcW w:w="76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二</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三</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四</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五</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六</w:t>
            </w:r>
          </w:p>
        </w:tc>
        <w:tc>
          <w:tcPr>
            <w:tcW w:w="823" w:type="dxa"/>
            <w:vMerge w:val="restart"/>
            <w:noWrap/>
            <w:vAlign w:val="center"/>
          </w:tcPr>
          <w:p>
            <w:pPr>
              <w:widowControl/>
              <w:jc w:val="left"/>
              <w:rPr>
                <w:rFonts w:ascii="宋体" w:cs="宋体"/>
                <w:b/>
                <w:color w:val="auto"/>
                <w:kern w:val="0"/>
                <w:szCs w:val="21"/>
              </w:rPr>
            </w:pPr>
            <w:r>
              <w:rPr>
                <w:rFonts w:hint="eastAsia" w:ascii="宋体" w:hAnsi="宋体" w:cs="宋体"/>
                <w:b/>
                <w:color w:val="auto"/>
                <w:kern w:val="0"/>
                <w:szCs w:val="21"/>
              </w:rPr>
              <w:t>方式</w:t>
            </w:r>
          </w:p>
        </w:tc>
        <w:tc>
          <w:tcPr>
            <w:tcW w:w="681" w:type="dxa"/>
            <w:vMerge w:val="restart"/>
            <w:noWrap/>
            <w:vAlign w:val="center"/>
          </w:tcPr>
          <w:p>
            <w:pPr>
              <w:widowControl/>
              <w:jc w:val="left"/>
              <w:rPr>
                <w:rFonts w:ascii="宋体" w:cs="宋体"/>
                <w:b/>
                <w:color w:val="auto"/>
                <w:kern w:val="0"/>
                <w:szCs w:val="21"/>
              </w:rPr>
            </w:pPr>
            <w:r>
              <w:rPr>
                <w:rFonts w:hint="eastAsia" w:ascii="宋体" w:hAnsi="宋体" w:cs="宋体"/>
                <w:b/>
                <w:color w:val="auto"/>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auto"/>
                <w:kern w:val="0"/>
                <w:szCs w:val="21"/>
              </w:rPr>
            </w:pPr>
          </w:p>
        </w:tc>
        <w:tc>
          <w:tcPr>
            <w:tcW w:w="446" w:type="dxa"/>
            <w:vMerge w:val="continue"/>
            <w:vAlign w:val="center"/>
          </w:tcPr>
          <w:p>
            <w:pPr>
              <w:widowControl/>
              <w:jc w:val="left"/>
              <w:rPr>
                <w:rFonts w:ascii="宋体" w:cs="宋体"/>
                <w:b/>
                <w:bCs/>
                <w:color w:val="auto"/>
                <w:kern w:val="0"/>
                <w:szCs w:val="21"/>
              </w:rPr>
            </w:pPr>
          </w:p>
        </w:tc>
        <w:tc>
          <w:tcPr>
            <w:tcW w:w="1977" w:type="dxa"/>
            <w:vMerge w:val="continue"/>
            <w:vAlign w:val="center"/>
          </w:tcPr>
          <w:p>
            <w:pPr>
              <w:widowControl/>
              <w:jc w:val="left"/>
              <w:rPr>
                <w:rFonts w:ascii="宋体" w:cs="宋体"/>
                <w:b/>
                <w:bCs/>
                <w:color w:val="auto"/>
                <w:kern w:val="0"/>
                <w:szCs w:val="21"/>
              </w:rPr>
            </w:pPr>
          </w:p>
        </w:tc>
        <w:tc>
          <w:tcPr>
            <w:tcW w:w="645" w:type="dxa"/>
            <w:vMerge w:val="continue"/>
            <w:vAlign w:val="center"/>
          </w:tcPr>
          <w:p>
            <w:pPr>
              <w:widowControl/>
              <w:jc w:val="left"/>
              <w:rPr>
                <w:rFonts w:ascii="宋体" w:cs="宋体"/>
                <w:b/>
                <w:bCs/>
                <w:color w:val="auto"/>
                <w:kern w:val="0"/>
                <w:szCs w:val="21"/>
              </w:rPr>
            </w:pPr>
          </w:p>
        </w:tc>
        <w:tc>
          <w:tcPr>
            <w:tcW w:w="640" w:type="dxa"/>
            <w:vMerge w:val="continue"/>
            <w:vAlign w:val="center"/>
          </w:tcPr>
          <w:p>
            <w:pPr>
              <w:widowControl/>
              <w:jc w:val="left"/>
              <w:rPr>
                <w:rFonts w:ascii="宋体" w:cs="宋体"/>
                <w:b/>
                <w:bCs/>
                <w:color w:val="auto"/>
                <w:kern w:val="0"/>
                <w:szCs w:val="21"/>
              </w:rPr>
            </w:pPr>
          </w:p>
        </w:tc>
        <w:tc>
          <w:tcPr>
            <w:tcW w:w="640" w:type="dxa"/>
            <w:vMerge w:val="continue"/>
            <w:vAlign w:val="center"/>
          </w:tcPr>
          <w:p>
            <w:pPr>
              <w:widowControl/>
              <w:jc w:val="left"/>
              <w:rPr>
                <w:rFonts w:ascii="宋体" w:cs="宋体"/>
                <w:b/>
                <w:bCs/>
                <w:color w:val="auto"/>
                <w:kern w:val="0"/>
                <w:szCs w:val="21"/>
              </w:rPr>
            </w:pPr>
          </w:p>
        </w:tc>
        <w:tc>
          <w:tcPr>
            <w:tcW w:w="659" w:type="dxa"/>
            <w:vMerge w:val="continue"/>
          </w:tcPr>
          <w:p>
            <w:pPr>
              <w:widowControl/>
              <w:jc w:val="center"/>
              <w:rPr>
                <w:rFonts w:ascii="宋体" w:hAnsi="宋体" w:cs="宋体"/>
                <w:b/>
                <w:bCs/>
                <w:color w:val="auto"/>
                <w:kern w:val="0"/>
                <w:szCs w:val="21"/>
              </w:rPr>
            </w:pPr>
          </w:p>
        </w:tc>
        <w:tc>
          <w:tcPr>
            <w:tcW w:w="713"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6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823" w:type="dxa"/>
            <w:vMerge w:val="continue"/>
            <w:vAlign w:val="center"/>
          </w:tcPr>
          <w:p>
            <w:pPr>
              <w:widowControl/>
              <w:jc w:val="left"/>
              <w:rPr>
                <w:rFonts w:ascii="宋体" w:cs="宋体"/>
                <w:b/>
                <w:color w:val="auto"/>
                <w:kern w:val="0"/>
                <w:szCs w:val="21"/>
              </w:rPr>
            </w:pPr>
          </w:p>
        </w:tc>
        <w:tc>
          <w:tcPr>
            <w:tcW w:w="681" w:type="dxa"/>
            <w:vMerge w:val="continue"/>
            <w:vAlign w:val="center"/>
          </w:tcPr>
          <w:p>
            <w:pPr>
              <w:widowControl/>
              <w:jc w:val="left"/>
              <w:rPr>
                <w:rFonts w:ascii="宋体" w:cs="宋体"/>
                <w:b/>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restart"/>
            <w:vAlign w:val="center"/>
          </w:tcPr>
          <w:p>
            <w:pPr>
              <w:widowControl/>
              <w:jc w:val="left"/>
              <w:rPr>
                <w:rFonts w:ascii="宋体" w:cs="宋体"/>
                <w:b/>
                <w:color w:val="auto"/>
                <w:kern w:val="0"/>
                <w:szCs w:val="21"/>
              </w:rPr>
            </w:pPr>
            <w:r>
              <w:rPr>
                <w:rFonts w:hint="eastAsia" w:ascii="宋体" w:hAnsi="宋体" w:cs="宋体"/>
                <w:b/>
                <w:color w:val="auto"/>
                <w:kern w:val="0"/>
                <w:szCs w:val="21"/>
              </w:rPr>
              <w:t>公共基础课</w:t>
            </w:r>
          </w:p>
        </w:tc>
        <w:tc>
          <w:tcPr>
            <w:tcW w:w="440" w:type="dxa"/>
            <w:vMerge w:val="restart"/>
            <w:vAlign w:val="center"/>
          </w:tcPr>
          <w:p>
            <w:pPr>
              <w:widowControl/>
              <w:jc w:val="left"/>
              <w:rPr>
                <w:rFonts w:ascii="宋体" w:cs="宋体"/>
                <w:b/>
                <w:color w:val="auto"/>
                <w:kern w:val="0"/>
                <w:szCs w:val="21"/>
              </w:rPr>
            </w:pPr>
            <w:r>
              <w:rPr>
                <w:rFonts w:hint="eastAsia" w:ascii="宋体" w:cs="宋体"/>
                <w:b/>
                <w:color w:val="auto"/>
                <w:kern w:val="0"/>
                <w:szCs w:val="21"/>
              </w:rPr>
              <w:t>必修课</w:t>
            </w: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1</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高职应用数学I</w:t>
            </w:r>
          </w:p>
        </w:tc>
        <w:tc>
          <w:tcPr>
            <w:tcW w:w="645"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3.5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4</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2</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高职实用英语I</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56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56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3.5</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14*4</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笔试/项目测试</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3</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计算机应用基础</w:t>
            </w:r>
          </w:p>
        </w:tc>
        <w:tc>
          <w:tcPr>
            <w:tcW w:w="645" w:type="dxa"/>
            <w:noWrap/>
            <w:vAlign w:val="center"/>
          </w:tcPr>
          <w:p>
            <w:pPr>
              <w:widowControl/>
              <w:jc w:val="center"/>
              <w:rPr>
                <w:rFonts w:ascii="宋体" w:cs="宋体"/>
                <w:color w:val="auto"/>
                <w:kern w:val="0"/>
                <w:szCs w:val="21"/>
              </w:rPr>
            </w:pPr>
            <w:r>
              <w:rPr>
                <w:rFonts w:ascii="宋体" w:hAnsi="宋体" w:cs="宋体"/>
                <w:color w:val="auto"/>
                <w:kern w:val="0"/>
                <w:szCs w:val="21"/>
              </w:rPr>
              <w:t>28</w:t>
            </w:r>
          </w:p>
        </w:tc>
        <w:tc>
          <w:tcPr>
            <w:tcW w:w="640" w:type="dxa"/>
            <w:noWrap/>
            <w:vAlign w:val="center"/>
          </w:tcPr>
          <w:p>
            <w:pPr>
              <w:widowControl/>
              <w:jc w:val="center"/>
              <w:rPr>
                <w:rFonts w:ascii="宋体" w:cs="宋体"/>
                <w:color w:val="auto"/>
                <w:kern w:val="0"/>
                <w:szCs w:val="21"/>
              </w:rPr>
            </w:pPr>
            <w:r>
              <w:rPr>
                <w:rFonts w:ascii="宋体" w:hAnsi="宋体" w:cs="宋体"/>
                <w:color w:val="auto"/>
                <w:kern w:val="0"/>
                <w:szCs w:val="21"/>
              </w:rPr>
              <w:t>28</w:t>
            </w:r>
          </w:p>
        </w:tc>
        <w:tc>
          <w:tcPr>
            <w:tcW w:w="640"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14*4</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考证</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4</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思想道德与法律基础</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2.5</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3</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实践+笔试</w:t>
            </w:r>
          </w:p>
        </w:tc>
        <w:tc>
          <w:tcPr>
            <w:tcW w:w="681" w:type="dxa"/>
            <w:noWrap/>
            <w:vAlign w:val="center"/>
          </w:tcPr>
          <w:p>
            <w:pPr>
              <w:jc w:val="left"/>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5</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毛泽东思想和中国特色社会主义理论体系概论</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2.5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3</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实践+笔试</w:t>
            </w:r>
          </w:p>
        </w:tc>
        <w:tc>
          <w:tcPr>
            <w:tcW w:w="681" w:type="dxa"/>
            <w:noWrap/>
            <w:vAlign w:val="center"/>
          </w:tcPr>
          <w:p>
            <w:pPr>
              <w:jc w:val="left"/>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cs="宋体"/>
                <w:color w:val="auto"/>
                <w:kern w:val="0"/>
                <w:szCs w:val="21"/>
              </w:rPr>
              <w:t>6</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创新创业基础</w:t>
            </w:r>
          </w:p>
        </w:tc>
        <w:tc>
          <w:tcPr>
            <w:tcW w:w="645" w:type="dxa"/>
            <w:noWrap/>
            <w:vAlign w:val="center"/>
          </w:tcPr>
          <w:p>
            <w:pPr>
              <w:widowControl/>
              <w:jc w:val="center"/>
              <w:rPr>
                <w:rFonts w:ascii="宋体" w:cs="宋体"/>
                <w:color w:val="auto"/>
                <w:kern w:val="0"/>
                <w:szCs w:val="21"/>
              </w:rPr>
            </w:pPr>
            <w:r>
              <w:rPr>
                <w:rFonts w:hint="eastAsia" w:ascii="宋体" w:cs="宋体"/>
                <w:color w:val="auto"/>
                <w:kern w:val="0"/>
                <w:szCs w:val="21"/>
              </w:rPr>
              <w:t>48</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48</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713"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10*2</w:t>
            </w: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14*2</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实践</w:t>
            </w:r>
          </w:p>
        </w:tc>
        <w:tc>
          <w:tcPr>
            <w:tcW w:w="681" w:type="dxa"/>
            <w:noWrap/>
            <w:vAlign w:val="center"/>
          </w:tcPr>
          <w:p>
            <w:pPr>
              <w:jc w:val="left"/>
              <w:rPr>
                <w:rFonts w:ascii="宋体" w:hAnsi="宋体" w:cs="宋体"/>
                <w:color w:val="auto"/>
                <w:kern w:val="0"/>
                <w:szCs w:val="21"/>
              </w:rPr>
            </w:pPr>
            <w:r>
              <w:rPr>
                <w:rFonts w:hint="eastAsia" w:ascii="宋体" w:hAnsi="宋体" w:cs="宋体"/>
                <w:color w:val="auto"/>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7</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心理健康</w:t>
            </w:r>
          </w:p>
        </w:tc>
        <w:tc>
          <w:tcPr>
            <w:tcW w:w="645" w:type="dxa"/>
            <w:noWrap/>
            <w:vAlign w:val="center"/>
          </w:tcPr>
          <w:p>
            <w:pPr>
              <w:widowControl/>
              <w:jc w:val="center"/>
              <w:rPr>
                <w:rFonts w:ascii="宋体" w:cs="宋体"/>
                <w:color w:val="auto"/>
                <w:kern w:val="0"/>
                <w:szCs w:val="21"/>
              </w:rPr>
            </w:pPr>
            <w:r>
              <w:rPr>
                <w:rFonts w:hint="eastAsia" w:ascii="宋体" w:cs="宋体"/>
                <w:color w:val="auto"/>
                <w:kern w:val="0"/>
                <w:szCs w:val="21"/>
              </w:rPr>
              <w:t>16</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8*2</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笔试</w:t>
            </w:r>
          </w:p>
        </w:tc>
        <w:tc>
          <w:tcPr>
            <w:tcW w:w="681" w:type="dxa"/>
            <w:noWrap/>
            <w:vAlign w:val="center"/>
          </w:tcPr>
          <w:p>
            <w:pPr>
              <w:jc w:val="left"/>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大学生职业发展与就业指导</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28</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28</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1.5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7*2</w:t>
            </w:r>
          </w:p>
        </w:tc>
        <w:tc>
          <w:tcPr>
            <w:tcW w:w="709" w:type="dxa"/>
            <w:noWrap/>
            <w:vAlign w:val="center"/>
          </w:tcPr>
          <w:p>
            <w:pPr>
              <w:widowControl/>
              <w:jc w:val="center"/>
              <w:rPr>
                <w:rFonts w:ascii="宋体" w:cs="宋体"/>
                <w:color w:val="auto"/>
                <w:kern w:val="0"/>
                <w:szCs w:val="21"/>
              </w:rPr>
            </w:pPr>
            <w:r>
              <w:rPr>
                <w:rFonts w:hint="eastAsia" w:ascii="宋体" w:cs="宋体"/>
                <w:color w:val="auto"/>
                <w:kern w:val="0"/>
                <w:szCs w:val="21"/>
              </w:rPr>
              <w:t>7*2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9</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专业英语</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24</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24</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12</w:t>
            </w:r>
            <w:r>
              <w:rPr>
                <w:rFonts w:ascii="宋体" w:hAnsi="宋体" w:cs="宋体"/>
                <w:color w:val="auto"/>
                <w:kern w:val="0"/>
                <w:szCs w:val="21"/>
              </w:rPr>
              <w:t>*2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10</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应用文写作</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8*2</w:t>
            </w: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11</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沟通与交流</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0.5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12</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形势与政策</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jc w:val="center"/>
              <w:rPr>
                <w:rFonts w:ascii="宋体" w:cs="宋体"/>
                <w:color w:val="auto"/>
                <w:kern w:val="0"/>
                <w:szCs w:val="21"/>
              </w:rPr>
            </w:pPr>
            <w:r>
              <w:rPr>
                <w:rFonts w:ascii="宋体" w:hAnsi="宋体" w:cs="宋体"/>
                <w:color w:val="auto"/>
                <w:kern w:val="0"/>
                <w:szCs w:val="21"/>
              </w:rPr>
              <w:t>4*</w:t>
            </w:r>
            <w:r>
              <w:rPr>
                <w:rFonts w:hint="eastAsia" w:ascii="宋体" w:hAnsi="宋体" w:cs="宋体"/>
                <w:color w:val="auto"/>
                <w:kern w:val="0"/>
                <w:szCs w:val="21"/>
              </w:rPr>
              <w:t>2</w:t>
            </w:r>
          </w:p>
        </w:tc>
        <w:tc>
          <w:tcPr>
            <w:tcW w:w="769" w:type="dxa"/>
            <w:noWrap/>
            <w:vAlign w:val="center"/>
          </w:tcPr>
          <w:p>
            <w:pPr>
              <w:jc w:val="center"/>
              <w:rPr>
                <w:rFonts w:ascii="宋体" w:cs="宋体"/>
                <w:color w:val="auto"/>
                <w:kern w:val="0"/>
                <w:szCs w:val="21"/>
              </w:rPr>
            </w:pPr>
            <w:r>
              <w:rPr>
                <w:rFonts w:ascii="宋体" w:hAnsi="宋体" w:cs="宋体"/>
                <w:color w:val="auto"/>
                <w:kern w:val="0"/>
                <w:szCs w:val="21"/>
              </w:rPr>
              <w:t>4*</w:t>
            </w:r>
            <w:r>
              <w:rPr>
                <w:rFonts w:hint="eastAsia" w:ascii="宋体" w:hAnsi="宋体" w:cs="宋体"/>
                <w:color w:val="auto"/>
                <w:kern w:val="0"/>
                <w:szCs w:val="21"/>
              </w:rPr>
              <w:t>2</w:t>
            </w: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cs="宋体"/>
                <w:color w:val="auto"/>
                <w:kern w:val="0"/>
                <w:szCs w:val="21"/>
              </w:rPr>
              <w:t>项目测试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2863" w:type="dxa"/>
            <w:gridSpan w:val="3"/>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645" w:type="dxa"/>
            <w:noWrap/>
            <w:vAlign w:val="center"/>
          </w:tcPr>
          <w:p>
            <w:pPr>
              <w:jc w:val="center"/>
              <w:rPr>
                <w:rFonts w:cs="宋体" w:asciiTheme="minorEastAsia" w:hAnsiTheme="minorEastAsia"/>
                <w:b/>
                <w:bCs/>
                <w:color w:val="auto"/>
                <w:szCs w:val="21"/>
              </w:rPr>
            </w:pPr>
            <w:r>
              <w:rPr>
                <w:rFonts w:hint="eastAsia" w:asciiTheme="minorEastAsia" w:hAnsiTheme="minorEastAsia"/>
                <w:b/>
                <w:bCs/>
                <w:color w:val="auto"/>
                <w:szCs w:val="21"/>
              </w:rPr>
              <w:t>380</w:t>
            </w:r>
          </w:p>
        </w:tc>
        <w:tc>
          <w:tcPr>
            <w:tcW w:w="640" w:type="dxa"/>
            <w:noWrap/>
            <w:vAlign w:val="center"/>
          </w:tcPr>
          <w:p>
            <w:pPr>
              <w:jc w:val="center"/>
              <w:rPr>
                <w:rFonts w:cs="宋体" w:asciiTheme="minorEastAsia" w:hAnsiTheme="minorEastAsia"/>
                <w:b/>
                <w:bCs/>
                <w:color w:val="auto"/>
                <w:szCs w:val="21"/>
              </w:rPr>
            </w:pPr>
            <w:r>
              <w:rPr>
                <w:rFonts w:asciiTheme="minorEastAsia" w:hAnsiTheme="minorEastAsia"/>
                <w:b/>
                <w:bCs/>
                <w:color w:val="auto"/>
                <w:szCs w:val="21"/>
              </w:rPr>
              <w:t>28</w:t>
            </w:r>
          </w:p>
        </w:tc>
        <w:tc>
          <w:tcPr>
            <w:tcW w:w="640" w:type="dxa"/>
            <w:noWrap/>
            <w:vAlign w:val="center"/>
          </w:tcPr>
          <w:p>
            <w:pPr>
              <w:jc w:val="center"/>
              <w:rPr>
                <w:rFonts w:cs="宋体" w:asciiTheme="minorEastAsia" w:hAnsiTheme="minorEastAsia"/>
                <w:b/>
                <w:bCs/>
                <w:color w:val="auto"/>
                <w:szCs w:val="21"/>
              </w:rPr>
            </w:pPr>
            <w:r>
              <w:rPr>
                <w:rFonts w:asciiTheme="minorEastAsia" w:hAnsiTheme="minorEastAsia"/>
                <w:b/>
                <w:bCs/>
                <w:color w:val="auto"/>
                <w:szCs w:val="21"/>
              </w:rPr>
              <w:t>4</w:t>
            </w:r>
            <w:r>
              <w:rPr>
                <w:rFonts w:hint="eastAsia" w:asciiTheme="minorEastAsia" w:hAnsiTheme="minorEastAsia"/>
                <w:b/>
                <w:bCs/>
                <w:color w:val="auto"/>
                <w:szCs w:val="21"/>
              </w:rPr>
              <w:t>08</w:t>
            </w:r>
          </w:p>
        </w:tc>
        <w:tc>
          <w:tcPr>
            <w:tcW w:w="659" w:type="dxa"/>
            <w:vAlign w:val="center"/>
          </w:tcPr>
          <w:p>
            <w:pPr>
              <w:jc w:val="center"/>
              <w:rPr>
                <w:rFonts w:cs="宋体" w:asciiTheme="minorEastAsia" w:hAnsiTheme="minorEastAsia"/>
                <w:b/>
                <w:bCs/>
                <w:color w:val="auto"/>
                <w:szCs w:val="21"/>
              </w:rPr>
            </w:pPr>
            <w:r>
              <w:rPr>
                <w:rFonts w:asciiTheme="minorEastAsia" w:hAnsiTheme="minorEastAsia"/>
                <w:b/>
                <w:bCs/>
                <w:color w:val="auto"/>
                <w:szCs w:val="21"/>
              </w:rPr>
              <w:t>2</w:t>
            </w:r>
            <w:r>
              <w:rPr>
                <w:rFonts w:hint="eastAsia" w:asciiTheme="minorEastAsia" w:hAnsiTheme="minorEastAsia"/>
                <w:b/>
                <w:bCs/>
                <w:color w:val="auto"/>
                <w:szCs w:val="21"/>
              </w:rPr>
              <w:t>4</w:t>
            </w:r>
            <w:r>
              <w:rPr>
                <w:rFonts w:asciiTheme="minorEastAsia" w:hAnsiTheme="minorEastAsia"/>
                <w:b/>
                <w:bCs/>
                <w:color w:val="auto"/>
                <w:szCs w:val="21"/>
              </w:rPr>
              <w:t>.5</w:t>
            </w:r>
          </w:p>
        </w:tc>
        <w:tc>
          <w:tcPr>
            <w:tcW w:w="713" w:type="dxa"/>
            <w:noWrap/>
            <w:vAlign w:val="center"/>
          </w:tcPr>
          <w:p>
            <w:pPr>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182</w:t>
            </w:r>
          </w:p>
        </w:tc>
        <w:tc>
          <w:tcPr>
            <w:tcW w:w="769" w:type="dxa"/>
            <w:noWrap/>
            <w:vAlign w:val="center"/>
          </w:tcPr>
          <w:p>
            <w:pPr>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150</w:t>
            </w:r>
          </w:p>
        </w:tc>
        <w:tc>
          <w:tcPr>
            <w:tcW w:w="709" w:type="dxa"/>
            <w:noWrap/>
            <w:vAlign w:val="center"/>
          </w:tcPr>
          <w:p>
            <w:pPr>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30</w:t>
            </w:r>
          </w:p>
        </w:tc>
        <w:tc>
          <w:tcPr>
            <w:tcW w:w="709" w:type="dxa"/>
            <w:noWrap/>
            <w:vAlign w:val="center"/>
          </w:tcPr>
          <w:p>
            <w:pPr>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46</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restart"/>
            <w:vAlign w:val="center"/>
          </w:tcPr>
          <w:p>
            <w:pPr>
              <w:widowControl/>
              <w:jc w:val="left"/>
              <w:rPr>
                <w:rFonts w:ascii="宋体" w:cs="宋体"/>
                <w:color w:val="auto"/>
                <w:kern w:val="0"/>
                <w:szCs w:val="21"/>
              </w:rPr>
            </w:pPr>
            <w:r>
              <w:rPr>
                <w:rFonts w:hint="eastAsia" w:ascii="宋体" w:hAnsi="宋体" w:cs="宋体"/>
                <w:b/>
                <w:bCs/>
                <w:color w:val="auto"/>
                <w:kern w:val="0"/>
                <w:szCs w:val="21"/>
              </w:rPr>
              <w:t>选修课</w:t>
            </w: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军事理论</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2</w:t>
            </w:r>
          </w:p>
        </w:tc>
        <w:tc>
          <w:tcPr>
            <w:tcW w:w="713" w:type="dxa"/>
            <w:noWrap/>
            <w:vAlign w:val="center"/>
          </w:tcPr>
          <w:p>
            <w:pPr>
              <w:jc w:val="center"/>
              <w:rPr>
                <w:rFonts w:ascii="宋体" w:hAnsi="宋体" w:cs="宋体"/>
                <w:color w:val="auto"/>
                <w:kern w:val="0"/>
                <w:szCs w:val="21"/>
              </w:rPr>
            </w:pPr>
            <w:r>
              <w:rPr>
                <w:rFonts w:hint="eastAsia" w:ascii="宋体" w:hAnsi="宋体" w:cs="宋体"/>
                <w:color w:val="auto"/>
                <w:kern w:val="0"/>
                <w:szCs w:val="21"/>
              </w:rPr>
              <w:t>36</w:t>
            </w: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2</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优秀传统文化</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2</w:t>
            </w:r>
          </w:p>
        </w:tc>
        <w:tc>
          <w:tcPr>
            <w:tcW w:w="713" w:type="dxa"/>
            <w:noWrap/>
            <w:vAlign w:val="center"/>
          </w:tcPr>
          <w:p>
            <w:pPr>
              <w:jc w:val="center"/>
              <w:rPr>
                <w:rFonts w:ascii="宋体" w:hAnsi="宋体" w:cs="宋体"/>
                <w:color w:val="auto"/>
                <w:kern w:val="0"/>
                <w:szCs w:val="21"/>
              </w:rPr>
            </w:pP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r>
              <w:rPr>
                <w:rFonts w:hint="eastAsia" w:ascii="宋体" w:hAnsi="宋体" w:cs="宋体"/>
                <w:color w:val="auto"/>
                <w:kern w:val="0"/>
                <w:szCs w:val="21"/>
              </w:rPr>
              <w:t>36</w:t>
            </w: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1977" w:type="dxa"/>
            <w:vAlign w:val="center"/>
          </w:tcPr>
          <w:p>
            <w:pPr>
              <w:widowControl/>
              <w:jc w:val="center"/>
              <w:rPr>
                <w:rFonts w:ascii="宋体" w:hAnsi="宋体" w:cs="宋体"/>
                <w:b/>
                <w:bCs/>
                <w:color w:val="auto"/>
                <w:kern w:val="0"/>
                <w:szCs w:val="21"/>
              </w:rPr>
            </w:pPr>
            <w:r>
              <w:rPr>
                <w:rFonts w:hint="eastAsia" w:ascii="宋体" w:hAnsi="宋体" w:eastAsia="宋体" w:cs="宋体"/>
                <w:bCs/>
                <w:color w:val="auto"/>
                <w:kern w:val="0"/>
                <w:szCs w:val="21"/>
              </w:rPr>
              <w:t>超星尔雅选修课1</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5.5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jc w:val="center"/>
              <w:rPr>
                <w:rFonts w:cs="宋体" w:asciiTheme="minorEastAsia" w:hAnsiTheme="minorEastAsia"/>
                <w:b/>
                <w:bCs/>
                <w:color w:val="auto"/>
                <w:szCs w:val="21"/>
              </w:rPr>
            </w:pP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w:t>
            </w:r>
          </w:p>
        </w:tc>
        <w:tc>
          <w:tcPr>
            <w:tcW w:w="1977" w:type="dxa"/>
            <w:vAlign w:val="center"/>
          </w:tcPr>
          <w:p>
            <w:pPr>
              <w:widowControl/>
              <w:jc w:val="center"/>
              <w:rPr>
                <w:rFonts w:ascii="宋体" w:hAnsi="宋体" w:cs="宋体"/>
                <w:b/>
                <w:bCs/>
                <w:color w:val="auto"/>
                <w:kern w:val="0"/>
                <w:szCs w:val="21"/>
              </w:rPr>
            </w:pPr>
            <w:r>
              <w:rPr>
                <w:rFonts w:hint="eastAsia" w:ascii="宋体" w:hAnsi="宋体" w:eastAsia="宋体" w:cs="宋体"/>
                <w:bCs/>
                <w:color w:val="auto"/>
                <w:kern w:val="0"/>
                <w:szCs w:val="21"/>
              </w:rPr>
              <w:t>超星尔雅选修课2</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5.5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2863" w:type="dxa"/>
            <w:gridSpan w:val="3"/>
            <w:vAlign w:val="center"/>
          </w:tcPr>
          <w:p>
            <w:pPr>
              <w:widowControl/>
              <w:jc w:val="center"/>
              <w:rPr>
                <w:rFonts w:ascii="宋体" w:hAnsi="宋体" w:eastAsia="宋体" w:cs="宋体"/>
                <w:bCs/>
                <w:color w:val="auto"/>
                <w:kern w:val="0"/>
                <w:szCs w:val="21"/>
              </w:rPr>
            </w:pPr>
            <w:r>
              <w:rPr>
                <w:rFonts w:hint="eastAsia" w:ascii="宋体" w:hAnsi="宋体" w:cs="宋体"/>
                <w:b/>
                <w:bCs/>
                <w:color w:val="auto"/>
                <w:kern w:val="0"/>
                <w:szCs w:val="21"/>
              </w:rPr>
              <w:t>小计</w:t>
            </w:r>
          </w:p>
        </w:tc>
        <w:tc>
          <w:tcPr>
            <w:tcW w:w="645"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252</w:t>
            </w:r>
          </w:p>
        </w:tc>
        <w:tc>
          <w:tcPr>
            <w:tcW w:w="640" w:type="dxa"/>
            <w:noWrap/>
            <w:vAlign w:val="center"/>
          </w:tcPr>
          <w:p>
            <w:pPr>
              <w:jc w:val="center"/>
              <w:rPr>
                <w:rFonts w:asciiTheme="minorEastAsia" w:hAnsiTheme="minorEastAsia"/>
                <w:b/>
                <w:bCs/>
                <w:color w:val="auto"/>
                <w:szCs w:val="21"/>
              </w:rPr>
            </w:pPr>
          </w:p>
        </w:tc>
        <w:tc>
          <w:tcPr>
            <w:tcW w:w="640"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252</w:t>
            </w:r>
          </w:p>
        </w:tc>
        <w:tc>
          <w:tcPr>
            <w:tcW w:w="659" w:type="dxa"/>
            <w:vAlign w:val="center"/>
          </w:tcPr>
          <w:p>
            <w:pPr>
              <w:jc w:val="center"/>
              <w:rPr>
                <w:rFonts w:hint="eastAsia" w:ascii="宋体" w:hAnsi="宋体" w:eastAsia="宋体" w:cs="宋体"/>
                <w:b/>
                <w:bCs/>
                <w:color w:val="auto"/>
                <w:szCs w:val="21"/>
              </w:rPr>
            </w:pPr>
            <w:r>
              <w:rPr>
                <w:rFonts w:hint="eastAsia" w:ascii="宋体" w:hAnsi="宋体" w:eastAsia="宋体" w:cs="宋体"/>
                <w:b/>
                <w:bCs/>
                <w:color w:val="auto"/>
                <w:szCs w:val="21"/>
              </w:rPr>
              <w:t>15</w:t>
            </w:r>
          </w:p>
        </w:tc>
        <w:tc>
          <w:tcPr>
            <w:tcW w:w="713" w:type="dxa"/>
            <w:noWrap/>
            <w:vAlign w:val="center"/>
          </w:tcPr>
          <w:p>
            <w:pPr>
              <w:widowControl/>
              <w:jc w:val="center"/>
              <w:rPr>
                <w:rFonts w:hint="eastAsia" w:ascii="宋体" w:hAnsi="宋体" w:eastAsia="宋体" w:cs="宋体"/>
                <w:b/>
                <w:bCs/>
                <w:color w:val="auto"/>
                <w:kern w:val="0"/>
                <w:szCs w:val="21"/>
                <w:lang w:val="en-US" w:eastAsia="zh-CN"/>
              </w:rPr>
            </w:pPr>
            <w:r>
              <w:rPr>
                <w:rFonts w:hint="eastAsia" w:ascii="宋体" w:hAnsi="宋体" w:eastAsia="宋体" w:cs="宋体"/>
                <w:b/>
                <w:bCs/>
                <w:color w:val="auto"/>
                <w:kern w:val="0"/>
                <w:szCs w:val="21"/>
                <w:lang w:val="en-US" w:eastAsia="zh-CN"/>
              </w:rPr>
              <w:t>36</w:t>
            </w:r>
          </w:p>
        </w:tc>
        <w:tc>
          <w:tcPr>
            <w:tcW w:w="769" w:type="dxa"/>
            <w:noWrap/>
            <w:vAlign w:val="center"/>
          </w:tcPr>
          <w:p>
            <w:pPr>
              <w:widowControl/>
              <w:jc w:val="center"/>
              <w:rPr>
                <w:rFonts w:hint="eastAsia" w:ascii="宋体" w:hAnsi="宋体" w:eastAsia="宋体" w:cs="宋体"/>
                <w:b/>
                <w:bCs/>
                <w:color w:val="auto"/>
                <w:kern w:val="0"/>
                <w:szCs w:val="21"/>
                <w:lang w:val="en-US" w:eastAsia="zh-CN"/>
              </w:rPr>
            </w:pPr>
            <w:r>
              <w:rPr>
                <w:rFonts w:hint="eastAsia" w:ascii="宋体" w:hAnsi="宋体" w:eastAsia="宋体" w:cs="宋体"/>
                <w:b/>
                <w:bCs/>
                <w:color w:val="auto"/>
                <w:kern w:val="0"/>
                <w:szCs w:val="21"/>
                <w:lang w:val="en-US" w:eastAsia="zh-CN"/>
              </w:rPr>
              <w:t>90</w:t>
            </w:r>
          </w:p>
        </w:tc>
        <w:tc>
          <w:tcPr>
            <w:tcW w:w="709" w:type="dxa"/>
            <w:noWrap/>
            <w:vAlign w:val="center"/>
          </w:tcPr>
          <w:p>
            <w:pPr>
              <w:widowControl/>
              <w:jc w:val="center"/>
              <w:rPr>
                <w:rFonts w:hint="eastAsia" w:ascii="宋体" w:hAnsi="宋体" w:eastAsia="宋体" w:cs="宋体"/>
                <w:b/>
                <w:bCs/>
                <w:color w:val="auto"/>
                <w:kern w:val="0"/>
                <w:szCs w:val="21"/>
                <w:lang w:val="en-US" w:eastAsia="zh-CN"/>
              </w:rPr>
            </w:pPr>
            <w:r>
              <w:rPr>
                <w:rFonts w:hint="eastAsia" w:ascii="宋体" w:hAnsi="宋体" w:eastAsia="宋体" w:cs="宋体"/>
                <w:b/>
                <w:bCs/>
                <w:color w:val="auto"/>
                <w:kern w:val="0"/>
                <w:szCs w:val="21"/>
                <w:lang w:val="en-US" w:eastAsia="zh-CN"/>
              </w:rPr>
              <w:t>36</w:t>
            </w:r>
          </w:p>
        </w:tc>
        <w:tc>
          <w:tcPr>
            <w:tcW w:w="709" w:type="dxa"/>
            <w:noWrap/>
            <w:vAlign w:val="center"/>
          </w:tcPr>
          <w:p>
            <w:pPr>
              <w:widowControl/>
              <w:jc w:val="center"/>
              <w:rPr>
                <w:rFonts w:hint="eastAsia" w:ascii="宋体" w:hAnsi="宋体" w:eastAsia="宋体" w:cs="宋体"/>
                <w:b/>
                <w:bCs/>
                <w:color w:val="auto"/>
                <w:kern w:val="0"/>
                <w:szCs w:val="21"/>
                <w:lang w:val="en-US" w:eastAsia="zh-CN"/>
              </w:rPr>
            </w:pPr>
            <w:r>
              <w:rPr>
                <w:rFonts w:hint="eastAsia" w:ascii="宋体" w:hAnsi="宋体" w:eastAsia="宋体" w:cs="宋体"/>
                <w:b/>
                <w:bCs/>
                <w:color w:val="auto"/>
                <w:kern w:val="0"/>
                <w:szCs w:val="21"/>
                <w:lang w:val="en-US" w:eastAsia="zh-CN"/>
              </w:rPr>
              <w:t>90</w:t>
            </w: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合计</w:t>
            </w:r>
          </w:p>
        </w:tc>
        <w:tc>
          <w:tcPr>
            <w:tcW w:w="645"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632</w:t>
            </w:r>
          </w:p>
        </w:tc>
        <w:tc>
          <w:tcPr>
            <w:tcW w:w="640"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28</w:t>
            </w:r>
          </w:p>
        </w:tc>
        <w:tc>
          <w:tcPr>
            <w:tcW w:w="640"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660</w:t>
            </w:r>
          </w:p>
        </w:tc>
        <w:tc>
          <w:tcPr>
            <w:tcW w:w="659" w:type="dxa"/>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39.5</w:t>
            </w:r>
          </w:p>
        </w:tc>
        <w:tc>
          <w:tcPr>
            <w:tcW w:w="713" w:type="dxa"/>
            <w:noWrap/>
            <w:vAlign w:val="center"/>
          </w:tcPr>
          <w:p>
            <w:pPr>
              <w:widowControl/>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218</w:t>
            </w:r>
          </w:p>
        </w:tc>
        <w:tc>
          <w:tcPr>
            <w:tcW w:w="769" w:type="dxa"/>
            <w:noWrap/>
            <w:vAlign w:val="center"/>
          </w:tcPr>
          <w:p>
            <w:pPr>
              <w:widowControl/>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240</w:t>
            </w:r>
          </w:p>
        </w:tc>
        <w:tc>
          <w:tcPr>
            <w:tcW w:w="709" w:type="dxa"/>
            <w:noWrap/>
            <w:vAlign w:val="center"/>
          </w:tcPr>
          <w:p>
            <w:pPr>
              <w:widowControl/>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66</w:t>
            </w:r>
          </w:p>
        </w:tc>
        <w:tc>
          <w:tcPr>
            <w:tcW w:w="709" w:type="dxa"/>
            <w:noWrap/>
            <w:vAlign w:val="center"/>
          </w:tcPr>
          <w:p>
            <w:pPr>
              <w:widowControl/>
              <w:jc w:val="center"/>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136</w:t>
            </w: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ascii="宋体" w:cs="宋体"/>
                <w:color w:val="auto"/>
                <w:kern w:val="0"/>
                <w:szCs w:val="21"/>
              </w:rPr>
            </w:pPr>
            <w:r>
              <w:rPr>
                <w:rFonts w:hint="eastAsia" w:ascii="宋体" w:cs="宋体"/>
                <w:color w:val="auto"/>
                <w:kern w:val="0"/>
                <w:szCs w:val="21"/>
              </w:rPr>
              <w:t>专业</w:t>
            </w:r>
          </w:p>
          <w:p>
            <w:pPr>
              <w:widowControl/>
              <w:jc w:val="left"/>
              <w:rPr>
                <w:rFonts w:ascii="宋体" w:cs="宋体"/>
                <w:color w:val="auto"/>
                <w:kern w:val="0"/>
                <w:szCs w:val="21"/>
              </w:rPr>
            </w:pPr>
            <w:r>
              <w:rPr>
                <w:rFonts w:hint="eastAsia" w:ascii="宋体" w:hAnsi="宋体" w:eastAsia="宋体" w:cs="宋体"/>
                <w:color w:val="auto"/>
                <w:kern w:val="0"/>
                <w:szCs w:val="21"/>
              </w:rPr>
              <w:t>︵</w:t>
            </w:r>
            <w:r>
              <w:rPr>
                <w:rFonts w:hint="eastAsia" w:ascii="宋体" w:cs="宋体"/>
                <w:color w:val="auto"/>
                <w:kern w:val="0"/>
                <w:szCs w:val="21"/>
              </w:rPr>
              <w:t>技能</w:t>
            </w:r>
          </w:p>
          <w:p>
            <w:pPr>
              <w:widowControl/>
              <w:jc w:val="left"/>
              <w:rPr>
                <w:rFonts w:ascii="宋体" w:cs="宋体"/>
                <w:color w:val="auto"/>
                <w:kern w:val="0"/>
                <w:szCs w:val="21"/>
              </w:rPr>
            </w:pPr>
            <w:r>
              <w:rPr>
                <w:rFonts w:hint="eastAsia" w:cs="宋体" w:asciiTheme="minorEastAsia" w:hAnsiTheme="minorEastAsia"/>
                <w:color w:val="auto"/>
                <w:kern w:val="0"/>
                <w:szCs w:val="21"/>
              </w:rPr>
              <w:t>︶</w:t>
            </w:r>
            <w:r>
              <w:rPr>
                <w:rFonts w:hint="eastAsia" w:ascii="宋体" w:cs="宋体"/>
                <w:color w:val="auto"/>
                <w:kern w:val="0"/>
                <w:szCs w:val="21"/>
              </w:rPr>
              <w:t>课</w:t>
            </w:r>
          </w:p>
        </w:tc>
        <w:tc>
          <w:tcPr>
            <w:tcW w:w="453" w:type="dxa"/>
            <w:gridSpan w:val="2"/>
            <w:vMerge w:val="restart"/>
            <w:vAlign w:val="center"/>
          </w:tcPr>
          <w:p>
            <w:pPr>
              <w:widowControl/>
              <w:jc w:val="left"/>
              <w:rPr>
                <w:rFonts w:ascii="宋体" w:cs="宋体"/>
                <w:color w:val="auto"/>
                <w:kern w:val="0"/>
                <w:szCs w:val="21"/>
              </w:rPr>
            </w:pPr>
            <w:r>
              <w:rPr>
                <w:rFonts w:hint="eastAsia" w:ascii="宋体" w:hAnsi="宋体" w:cs="宋体"/>
                <w:color w:val="auto"/>
                <w:kern w:val="0"/>
                <w:szCs w:val="21"/>
              </w:rPr>
              <w:t>专业基础课</w:t>
            </w: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p>
        </w:tc>
        <w:tc>
          <w:tcPr>
            <w:tcW w:w="1977" w:type="dxa"/>
            <w:vAlign w:val="center"/>
          </w:tcPr>
          <w:p>
            <w:pPr>
              <w:spacing w:line="260" w:lineRule="exact"/>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机械制图</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42</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42</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84</w:t>
            </w:r>
          </w:p>
        </w:tc>
        <w:tc>
          <w:tcPr>
            <w:tcW w:w="659" w:type="dxa"/>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4.5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14*6</w:t>
            </w: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p>
        </w:tc>
        <w:tc>
          <w:tcPr>
            <w:tcW w:w="1977" w:type="dxa"/>
            <w:vAlign w:val="center"/>
          </w:tcPr>
          <w:p>
            <w:pPr>
              <w:spacing w:line="260" w:lineRule="exact"/>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金属材料与成型工艺</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30</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12</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42</w:t>
            </w:r>
          </w:p>
        </w:tc>
        <w:tc>
          <w:tcPr>
            <w:tcW w:w="659" w:type="dxa"/>
            <w:vAlign w:val="top"/>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14*3</w:t>
            </w: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w:t>
            </w:r>
          </w:p>
        </w:tc>
        <w:tc>
          <w:tcPr>
            <w:tcW w:w="1977" w:type="dxa"/>
            <w:vAlign w:val="center"/>
          </w:tcPr>
          <w:p>
            <w:pPr>
              <w:spacing w:line="260" w:lineRule="exact"/>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AutoCAD</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12</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44</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56</w:t>
            </w:r>
          </w:p>
        </w:tc>
        <w:tc>
          <w:tcPr>
            <w:tcW w:w="659" w:type="dxa"/>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14*4</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选考证</w:t>
            </w:r>
          </w:p>
        </w:tc>
        <w:tc>
          <w:tcPr>
            <w:tcW w:w="681" w:type="dxa"/>
            <w:noWrap/>
            <w:vAlign w:val="top"/>
          </w:tcPr>
          <w:p>
            <w:pP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w:t>
            </w:r>
          </w:p>
        </w:tc>
        <w:tc>
          <w:tcPr>
            <w:tcW w:w="1977" w:type="dxa"/>
            <w:vAlign w:val="center"/>
          </w:tcPr>
          <w:p>
            <w:pPr>
              <w:spacing w:line="260" w:lineRule="exact"/>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互换性与测量技术</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30</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12</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42</w:t>
            </w:r>
          </w:p>
        </w:tc>
        <w:tc>
          <w:tcPr>
            <w:tcW w:w="659" w:type="dxa"/>
            <w:vAlign w:val="top"/>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14*3</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top"/>
          </w:tcPr>
          <w:p>
            <w:pP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5</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电工电子技术</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12</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44</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56</w:t>
            </w:r>
          </w:p>
        </w:tc>
        <w:tc>
          <w:tcPr>
            <w:tcW w:w="659" w:type="dxa"/>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w:t>
            </w:r>
            <w:r>
              <w:rPr>
                <w:rFonts w:hint="eastAsia" w:ascii="宋体" w:hAnsi="宋体" w:eastAsia="宋体" w:cs="宋体"/>
                <w:color w:val="auto"/>
                <w:kern w:val="0"/>
                <w:sz w:val="18"/>
                <w:szCs w:val="18"/>
                <w:lang w:val="en-US" w:eastAsia="zh-CN"/>
              </w:rPr>
              <w:t>4</w:t>
            </w: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6</w:t>
            </w:r>
          </w:p>
        </w:tc>
        <w:tc>
          <w:tcPr>
            <w:tcW w:w="1977" w:type="dxa"/>
            <w:vAlign w:val="center"/>
          </w:tcPr>
          <w:p>
            <w:pPr>
              <w:spacing w:line="260" w:lineRule="exact"/>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机械设计基础</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40</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30</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70</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w:t>
            </w:r>
            <w:r>
              <w:rPr>
                <w:rFonts w:hint="eastAsia" w:ascii="宋体" w:hAnsi="宋体" w:eastAsia="宋体" w:cs="宋体"/>
                <w:color w:val="auto"/>
                <w:kern w:val="0"/>
                <w:sz w:val="18"/>
                <w:szCs w:val="18"/>
                <w:lang w:val="en-US" w:eastAsia="zh-CN"/>
              </w:rPr>
              <w:t>5</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widowControl/>
              <w:jc w:val="center"/>
              <w:rPr>
                <w:rFonts w:ascii="宋体" w:cs="宋体"/>
                <w:color w:val="auto"/>
                <w:kern w:val="0"/>
                <w:szCs w:val="21"/>
              </w:rPr>
            </w:pPr>
            <w:r>
              <w:rPr>
                <w:rFonts w:hint="eastAsia" w:ascii="宋体" w:hAnsi="宋体" w:cs="宋体"/>
                <w:b/>
                <w:bCs/>
                <w:color w:val="auto"/>
                <w:kern w:val="0"/>
                <w:szCs w:val="21"/>
              </w:rPr>
              <w:t>小计</w:t>
            </w:r>
          </w:p>
        </w:tc>
        <w:tc>
          <w:tcPr>
            <w:tcW w:w="645"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bidi="ar-SA"/>
              </w:rPr>
              <w:t>166</w:t>
            </w:r>
          </w:p>
        </w:tc>
        <w:tc>
          <w:tcPr>
            <w:tcW w:w="640"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184</w:t>
            </w:r>
          </w:p>
        </w:tc>
        <w:tc>
          <w:tcPr>
            <w:tcW w:w="640"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350</w:t>
            </w:r>
          </w:p>
        </w:tc>
        <w:tc>
          <w:tcPr>
            <w:tcW w:w="659" w:type="dxa"/>
            <w:vAlign w:val="top"/>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18.5</w:t>
            </w:r>
          </w:p>
        </w:tc>
        <w:tc>
          <w:tcPr>
            <w:tcW w:w="713"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182</w:t>
            </w:r>
          </w:p>
        </w:tc>
        <w:tc>
          <w:tcPr>
            <w:tcW w:w="769"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188</w:t>
            </w:r>
          </w:p>
        </w:tc>
        <w:tc>
          <w:tcPr>
            <w:tcW w:w="709"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41" w:type="dxa"/>
            <w:noWrap/>
            <w:vAlign w:val="center"/>
          </w:tcPr>
          <w:p>
            <w:pPr>
              <w:widowControl/>
              <w:jc w:val="left"/>
              <w:rPr>
                <w:rFonts w:asci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p>
        </w:tc>
        <w:tc>
          <w:tcPr>
            <w:tcW w:w="681" w:type="dxa"/>
            <w:noWrap/>
            <w:vAlign w:val="center"/>
          </w:tcPr>
          <w:p>
            <w:pPr>
              <w:widowControl/>
              <w:jc w:val="left"/>
              <w:rPr>
                <w:rFonts w:asci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restart"/>
            <w:vAlign w:val="center"/>
          </w:tcPr>
          <w:p>
            <w:pPr>
              <w:widowControl/>
              <w:jc w:val="left"/>
              <w:rPr>
                <w:rFonts w:ascii="宋体" w:hAnsi="宋体" w:cs="宋体"/>
                <w:color w:val="auto"/>
                <w:kern w:val="0"/>
                <w:szCs w:val="21"/>
              </w:rPr>
            </w:pPr>
            <w:r>
              <w:rPr>
                <w:rFonts w:hint="eastAsia" w:ascii="宋体" w:hAnsi="宋体" w:cs="宋体"/>
                <w:color w:val="auto"/>
                <w:kern w:val="0"/>
                <w:szCs w:val="21"/>
              </w:rPr>
              <w:t>专</w:t>
            </w:r>
          </w:p>
          <w:p>
            <w:pPr>
              <w:widowControl/>
              <w:jc w:val="left"/>
              <w:rPr>
                <w:rFonts w:ascii="宋体" w:hAnsi="宋体" w:cs="宋体"/>
                <w:color w:val="auto"/>
                <w:kern w:val="0"/>
                <w:szCs w:val="21"/>
              </w:rPr>
            </w:pPr>
            <w:r>
              <w:rPr>
                <w:rFonts w:hint="eastAsia" w:ascii="宋体" w:hAnsi="宋体" w:cs="宋体"/>
                <w:color w:val="auto"/>
                <w:kern w:val="0"/>
                <w:szCs w:val="21"/>
              </w:rPr>
              <w:t>业</w:t>
            </w:r>
          </w:p>
          <w:p>
            <w:pPr>
              <w:widowControl/>
              <w:jc w:val="left"/>
              <w:rPr>
                <w:rFonts w:ascii="宋体" w:hAnsi="宋体" w:cs="宋体"/>
                <w:color w:val="auto"/>
                <w:kern w:val="0"/>
                <w:szCs w:val="21"/>
              </w:rPr>
            </w:pPr>
            <w:r>
              <w:rPr>
                <w:rFonts w:hint="eastAsia" w:ascii="宋体" w:hAnsi="宋体" w:cs="宋体"/>
                <w:color w:val="auto"/>
                <w:kern w:val="0"/>
                <w:szCs w:val="21"/>
              </w:rPr>
              <w:t>核</w:t>
            </w:r>
          </w:p>
          <w:p>
            <w:pPr>
              <w:widowControl/>
              <w:jc w:val="left"/>
              <w:rPr>
                <w:rFonts w:ascii="宋体" w:hAnsi="宋体" w:cs="宋体"/>
                <w:color w:val="auto"/>
                <w:kern w:val="0"/>
                <w:szCs w:val="21"/>
              </w:rPr>
            </w:pPr>
            <w:r>
              <w:rPr>
                <w:rFonts w:hint="eastAsia" w:ascii="宋体" w:hAnsi="宋体" w:cs="宋体"/>
                <w:color w:val="auto"/>
                <w:kern w:val="0"/>
                <w:szCs w:val="21"/>
              </w:rPr>
              <w:t>心</w:t>
            </w:r>
          </w:p>
          <w:p>
            <w:pPr>
              <w:widowControl/>
              <w:jc w:val="left"/>
              <w:rPr>
                <w:rFonts w:ascii="宋体" w:hAnsi="宋体" w:cs="宋体"/>
                <w:color w:val="auto"/>
                <w:kern w:val="0"/>
                <w:szCs w:val="21"/>
              </w:rPr>
            </w:pPr>
            <w:r>
              <w:rPr>
                <w:rFonts w:hint="eastAsia" w:ascii="宋体" w:hAnsi="宋体" w:cs="宋体"/>
                <w:color w:val="auto"/>
                <w:kern w:val="0"/>
                <w:szCs w:val="21"/>
              </w:rPr>
              <w:t>课</w:t>
            </w: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电气控制与PLC</w:t>
            </w:r>
          </w:p>
        </w:tc>
        <w:tc>
          <w:tcPr>
            <w:tcW w:w="645" w:type="dxa"/>
            <w:noWrap/>
            <w:vAlign w:val="center"/>
          </w:tcPr>
          <w:p>
            <w:pPr>
              <w:widowControl/>
              <w:adjustRightInd w:val="0"/>
              <w:snapToGrid w:val="0"/>
              <w:jc w:val="center"/>
              <w:rPr>
                <w:rFonts w:hint="default" w:ascii="宋体" w:hAnsi="宋体" w:cs="宋体" w:eastAsiaTheme="minorEastAsia"/>
                <w:color w:val="auto"/>
                <w:kern w:val="0"/>
                <w:sz w:val="21"/>
                <w:szCs w:val="21"/>
                <w:lang w:val="en-US" w:eastAsia="zh-CN" w:bidi="ar-SA"/>
              </w:rPr>
            </w:pPr>
            <w:r>
              <w:rPr>
                <w:rFonts w:hint="eastAsia" w:ascii="宋体" w:hAnsi="宋体" w:eastAsia="宋体" w:cs="宋体"/>
                <w:color w:val="auto"/>
                <w:kern w:val="0"/>
                <w:sz w:val="21"/>
                <w:szCs w:val="21"/>
                <w:lang w:val="en-US" w:eastAsia="zh-CN"/>
              </w:rPr>
              <w:t>12</w:t>
            </w:r>
          </w:p>
        </w:tc>
        <w:tc>
          <w:tcPr>
            <w:tcW w:w="640" w:type="dxa"/>
            <w:noWrap/>
            <w:vAlign w:val="center"/>
          </w:tcPr>
          <w:p>
            <w:pPr>
              <w:widowControl/>
              <w:adjustRightInd w:val="0"/>
              <w:snapToGrid w:val="0"/>
              <w:jc w:val="center"/>
              <w:rPr>
                <w:rFonts w:hint="default" w:ascii="宋体" w:hAnsi="宋体" w:cs="宋体" w:eastAsiaTheme="minorEastAsia"/>
                <w:color w:val="auto"/>
                <w:kern w:val="0"/>
                <w:sz w:val="21"/>
                <w:szCs w:val="21"/>
                <w:lang w:val="en-US" w:eastAsia="zh-CN" w:bidi="ar-SA"/>
              </w:rPr>
            </w:pPr>
            <w:r>
              <w:rPr>
                <w:rFonts w:hint="eastAsia" w:ascii="宋体" w:hAnsi="宋体" w:eastAsia="宋体" w:cs="宋体"/>
                <w:color w:val="auto"/>
                <w:kern w:val="0"/>
                <w:sz w:val="21"/>
                <w:szCs w:val="21"/>
                <w:lang w:val="en-US" w:eastAsia="zh-CN"/>
              </w:rPr>
              <w:t>48</w:t>
            </w:r>
          </w:p>
        </w:tc>
        <w:tc>
          <w:tcPr>
            <w:tcW w:w="640" w:type="dxa"/>
            <w:noWrap/>
            <w:vAlign w:val="center"/>
          </w:tcPr>
          <w:p>
            <w:pPr>
              <w:widowControl/>
              <w:adjustRightInd w:val="0"/>
              <w:snapToGrid w:val="0"/>
              <w:jc w:val="center"/>
              <w:rPr>
                <w:rFonts w:hint="eastAsia" w:ascii="宋体" w:hAnsi="宋体" w:cs="宋体" w:eastAsiaTheme="minorEastAsia"/>
                <w:color w:val="auto"/>
                <w:kern w:val="0"/>
                <w:sz w:val="21"/>
                <w:szCs w:val="21"/>
                <w:lang w:val="en-US" w:eastAsia="zh-CN" w:bidi="ar-SA"/>
              </w:rPr>
            </w:pPr>
            <w:r>
              <w:rPr>
                <w:rFonts w:hint="eastAsia" w:ascii="宋体" w:hAnsi="宋体" w:cs="宋体" w:eastAsiaTheme="minorEastAsia"/>
                <w:color w:val="auto"/>
                <w:kern w:val="0"/>
                <w:sz w:val="21"/>
                <w:szCs w:val="21"/>
                <w:lang w:val="en-US" w:eastAsia="zh-CN" w:bidi="ar-SA"/>
              </w:rPr>
              <w:t>60</w:t>
            </w:r>
          </w:p>
        </w:tc>
        <w:tc>
          <w:tcPr>
            <w:tcW w:w="659" w:type="dxa"/>
            <w:vAlign w:val="center"/>
          </w:tcPr>
          <w:p>
            <w:pPr>
              <w:widowControl/>
              <w:jc w:val="center"/>
              <w:rPr>
                <w:rFonts w:hint="eastAsia" w:ascii="宋体" w:hAnsi="宋体" w:cs="宋体" w:eastAsiaTheme="minorEastAsia"/>
                <w:color w:val="auto"/>
                <w:kern w:val="0"/>
                <w:sz w:val="21"/>
                <w:szCs w:val="21"/>
                <w:lang w:val="en-US" w:eastAsia="zh-CN" w:bidi="ar-SA"/>
              </w:rPr>
            </w:pPr>
            <w:r>
              <w:rPr>
                <w:rFonts w:hint="eastAsia" w:ascii="宋体" w:hAnsi="宋体" w:eastAsia="宋体" w:cs="宋体"/>
                <w:color w:val="auto"/>
                <w:kern w:val="0"/>
                <w:sz w:val="21"/>
                <w:szCs w:val="21"/>
                <w:lang w:val="en-US" w:eastAsia="zh-CN"/>
              </w:rPr>
              <w:t>3</w:t>
            </w:r>
          </w:p>
        </w:tc>
        <w:tc>
          <w:tcPr>
            <w:tcW w:w="713" w:type="dxa"/>
            <w:noWrap/>
            <w:vAlign w:val="center"/>
          </w:tcPr>
          <w:p>
            <w:pPr>
              <w:widowControl/>
              <w:adjustRightInd w:val="0"/>
              <w:snapToGrid w:val="0"/>
              <w:jc w:val="center"/>
              <w:rPr>
                <w:rFonts w:hint="eastAsia" w:ascii="宋体" w:hAnsi="宋体" w:cs="宋体" w:eastAsiaTheme="minorEastAsia"/>
                <w:color w:val="auto"/>
                <w:kern w:val="0"/>
                <w:sz w:val="21"/>
                <w:szCs w:val="21"/>
                <w:lang w:val="en-US" w:eastAsia="zh-CN" w:bidi="ar-SA"/>
              </w:rPr>
            </w:pPr>
          </w:p>
        </w:tc>
        <w:tc>
          <w:tcPr>
            <w:tcW w:w="769" w:type="dxa"/>
            <w:noWrap/>
            <w:vAlign w:val="center"/>
          </w:tcPr>
          <w:p>
            <w:pPr>
              <w:widowControl/>
              <w:adjustRightInd w:val="0"/>
              <w:snapToGrid w:val="0"/>
              <w:jc w:val="center"/>
              <w:rPr>
                <w:rFonts w:hint="eastAsia" w:ascii="宋体" w:hAnsi="宋体" w:cs="宋体" w:eastAsiaTheme="minorEastAsia"/>
                <w:color w:val="auto"/>
                <w:kern w:val="0"/>
                <w:sz w:val="21"/>
                <w:szCs w:val="21"/>
                <w:lang w:val="en-US" w:eastAsia="zh-CN" w:bidi="ar-SA"/>
              </w:rPr>
            </w:pPr>
          </w:p>
        </w:tc>
        <w:tc>
          <w:tcPr>
            <w:tcW w:w="709" w:type="dxa"/>
            <w:noWrap/>
            <w:vAlign w:val="center"/>
          </w:tcPr>
          <w:p>
            <w:pPr>
              <w:widowControl/>
              <w:adjustRightInd w:val="0"/>
              <w:snapToGrid w:val="0"/>
              <w:jc w:val="center"/>
              <w:rPr>
                <w:rFonts w:hint="eastAsia" w:ascii="宋体" w:hAnsi="宋体" w:cs="宋体" w:eastAsiaTheme="minorEastAsia"/>
                <w:color w:val="auto"/>
                <w:kern w:val="0"/>
                <w:sz w:val="21"/>
                <w:szCs w:val="21"/>
                <w:lang w:val="en-US" w:eastAsia="zh-CN" w:bidi="ar-SA"/>
              </w:rPr>
            </w:pPr>
            <w:r>
              <w:rPr>
                <w:rFonts w:hint="eastAsia" w:ascii="宋体" w:hAnsi="宋体" w:eastAsia="宋体" w:cs="宋体"/>
                <w:color w:val="auto"/>
                <w:kern w:val="0"/>
                <w:sz w:val="18"/>
                <w:szCs w:val="18"/>
              </w:rPr>
              <w:t>12*</w:t>
            </w:r>
            <w:r>
              <w:rPr>
                <w:rFonts w:hint="eastAsia" w:ascii="宋体" w:hAnsi="宋体" w:eastAsia="宋体" w:cs="宋体"/>
                <w:color w:val="auto"/>
                <w:kern w:val="0"/>
                <w:sz w:val="18"/>
                <w:szCs w:val="18"/>
                <w:lang w:val="en-US" w:eastAsia="zh-CN"/>
              </w:rPr>
              <w:t>5</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pacing w:val="-14"/>
                <w:kern w:val="0"/>
                <w:sz w:val="18"/>
                <w:szCs w:val="18"/>
              </w:rPr>
              <w:t>项目过程考核</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液压系统安装及调试</w:t>
            </w:r>
          </w:p>
        </w:tc>
        <w:tc>
          <w:tcPr>
            <w:tcW w:w="645" w:type="dxa"/>
            <w:noWrap/>
            <w:vAlign w:val="center"/>
          </w:tcPr>
          <w:p>
            <w:pPr>
              <w:widowControl/>
              <w:adjustRightInd w:val="0"/>
              <w:snapToGrid w:val="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12</w:t>
            </w:r>
          </w:p>
        </w:tc>
        <w:tc>
          <w:tcPr>
            <w:tcW w:w="640" w:type="dxa"/>
            <w:noWrap/>
            <w:vAlign w:val="center"/>
          </w:tcPr>
          <w:p>
            <w:pPr>
              <w:widowControl/>
              <w:adjustRightInd w:val="0"/>
              <w:snapToGrid w:val="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40"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60</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w:t>
            </w:r>
            <w:r>
              <w:rPr>
                <w:rFonts w:hint="eastAsia" w:ascii="宋体" w:hAnsi="宋体" w:eastAsia="宋体" w:cs="宋体"/>
                <w:color w:val="auto"/>
                <w:kern w:val="0"/>
                <w:sz w:val="18"/>
                <w:szCs w:val="18"/>
                <w:lang w:val="en-US" w:eastAsia="zh-CN"/>
              </w:rPr>
              <w:t>5</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机械CAD/CAM</w:t>
            </w:r>
          </w:p>
        </w:tc>
        <w:tc>
          <w:tcPr>
            <w:tcW w:w="645" w:type="dxa"/>
            <w:noWrap/>
            <w:vAlign w:val="center"/>
          </w:tcPr>
          <w:p>
            <w:pPr>
              <w:widowControl/>
              <w:adjustRightInd w:val="0"/>
              <w:snapToGrid w:val="0"/>
              <w:jc w:val="center"/>
              <w:rPr>
                <w:rFonts w:hint="default" w:ascii="宋体" w:hAnsi="宋体" w:cs="宋体" w:eastAsiaTheme="minorEastAsia"/>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12</w:t>
            </w:r>
          </w:p>
        </w:tc>
        <w:tc>
          <w:tcPr>
            <w:tcW w:w="640" w:type="dxa"/>
            <w:noWrap/>
            <w:vAlign w:val="center"/>
          </w:tcPr>
          <w:p>
            <w:pPr>
              <w:widowControl/>
              <w:adjustRightInd w:val="0"/>
              <w:snapToGrid w:val="0"/>
              <w:jc w:val="center"/>
              <w:rPr>
                <w:rFonts w:hint="default" w:ascii="宋体" w:hAnsi="宋体" w:cs="宋体" w:eastAsiaTheme="minorEastAsia"/>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60</w:t>
            </w:r>
          </w:p>
        </w:tc>
        <w:tc>
          <w:tcPr>
            <w:tcW w:w="640" w:type="dxa"/>
            <w:noWrap/>
            <w:vAlign w:val="center"/>
          </w:tcPr>
          <w:p>
            <w:pPr>
              <w:widowControl/>
              <w:adjustRightInd w:val="0"/>
              <w:snapToGrid w:val="0"/>
              <w:jc w:val="center"/>
              <w:rPr>
                <w:rFonts w:hint="eastAsia" w:ascii="宋体" w:hAnsi="宋体" w:cs="宋体" w:eastAsiaTheme="minorEastAsia"/>
                <w:color w:val="auto"/>
                <w:kern w:val="0"/>
                <w:sz w:val="18"/>
                <w:szCs w:val="18"/>
                <w:lang w:val="en-US" w:eastAsia="zh-CN" w:bidi="ar-SA"/>
              </w:rPr>
            </w:pPr>
            <w:r>
              <w:rPr>
                <w:rFonts w:hint="eastAsia" w:ascii="宋体" w:hAnsi="宋体" w:cs="宋体" w:eastAsiaTheme="minorEastAsia"/>
                <w:color w:val="auto"/>
                <w:kern w:val="0"/>
                <w:sz w:val="18"/>
                <w:szCs w:val="18"/>
                <w:lang w:val="en-US" w:eastAsia="zh-CN" w:bidi="ar-SA"/>
              </w:rPr>
              <w:t>72</w:t>
            </w:r>
          </w:p>
        </w:tc>
        <w:tc>
          <w:tcPr>
            <w:tcW w:w="659" w:type="dxa"/>
            <w:vAlign w:val="center"/>
          </w:tcPr>
          <w:p>
            <w:pPr>
              <w:widowControl/>
              <w:adjustRightInd w:val="0"/>
              <w:snapToGrid w:val="0"/>
              <w:jc w:val="center"/>
              <w:rPr>
                <w:rFonts w:hint="eastAsia" w:ascii="宋体" w:hAnsi="宋体" w:cs="宋体" w:eastAsiaTheme="minorEastAsia"/>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3.5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w:t>
            </w:r>
            <w:r>
              <w:rPr>
                <w:rFonts w:hint="eastAsia" w:ascii="宋体" w:hAnsi="宋体" w:eastAsia="宋体" w:cs="宋体"/>
                <w:color w:val="auto"/>
                <w:kern w:val="0"/>
                <w:sz w:val="18"/>
                <w:szCs w:val="18"/>
                <w:lang w:val="en-US" w:eastAsia="zh-CN"/>
              </w:rPr>
              <w:t>6</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选考证</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数控加工编程及操作</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72</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w:t>
            </w:r>
            <w:r>
              <w:rPr>
                <w:rFonts w:hint="eastAsia" w:ascii="宋体" w:hAnsi="宋体" w:eastAsia="宋体" w:cs="宋体"/>
                <w:color w:val="auto"/>
                <w:kern w:val="0"/>
                <w:sz w:val="18"/>
                <w:szCs w:val="18"/>
                <w:lang w:val="en-US" w:eastAsia="zh-CN"/>
              </w:rPr>
              <w:t>6</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5</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eastAsia="zh-CN"/>
              </w:rPr>
              <w:t>机械制造技术</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40</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70</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70</w:t>
            </w:r>
          </w:p>
        </w:tc>
        <w:tc>
          <w:tcPr>
            <w:tcW w:w="709" w:type="dxa"/>
            <w:noWrap/>
            <w:vAlign w:val="center"/>
          </w:tcPr>
          <w:p>
            <w:pPr>
              <w:widowControl/>
              <w:jc w:val="center"/>
              <w:rPr>
                <w:rFonts w:hint="default"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6</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机械设备安装与维修</w:t>
            </w:r>
            <w:r>
              <w:rPr>
                <w:rFonts w:hint="eastAsia" w:ascii="宋体" w:hAnsi="宋体" w:eastAsia="宋体" w:cs="宋体"/>
                <w:color w:val="auto"/>
                <w:sz w:val="18"/>
                <w:szCs w:val="18"/>
                <w:lang w:eastAsia="zh-CN"/>
              </w:rPr>
              <w:t>技术</w:t>
            </w:r>
          </w:p>
        </w:tc>
        <w:tc>
          <w:tcPr>
            <w:tcW w:w="645" w:type="dxa"/>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30</w:t>
            </w:r>
          </w:p>
        </w:tc>
        <w:tc>
          <w:tcPr>
            <w:tcW w:w="640" w:type="dxa"/>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18</w:t>
            </w:r>
          </w:p>
        </w:tc>
        <w:tc>
          <w:tcPr>
            <w:tcW w:w="640" w:type="dxa"/>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48</w:t>
            </w:r>
          </w:p>
        </w:tc>
        <w:tc>
          <w:tcPr>
            <w:tcW w:w="659" w:type="dxa"/>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rPr>
            </w:pPr>
          </w:p>
        </w:tc>
        <w:tc>
          <w:tcPr>
            <w:tcW w:w="769" w:type="dxa"/>
            <w:noWrap/>
            <w:vAlign w:val="center"/>
          </w:tcPr>
          <w:p>
            <w:pPr>
              <w:widowControl/>
              <w:jc w:val="center"/>
              <w:rPr>
                <w:rFonts w:hint="eastAsia" w:ascii="宋体" w:hAnsi="宋体" w:eastAsia="宋体" w:cs="宋体"/>
                <w:color w:val="auto"/>
                <w:kern w:val="0"/>
                <w:sz w:val="18"/>
                <w:szCs w:val="18"/>
                <w:lang w:val="en-US" w:eastAsia="zh-CN"/>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18"/>
                <w:szCs w:val="18"/>
              </w:rPr>
              <w:t>12*4</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7</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逆向工程及3D打印技术</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12</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48</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12*4</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8</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eastAsia="zh-CN"/>
              </w:rPr>
              <w:t>先进制造技术</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12</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w:t>
            </w:r>
            <w:r>
              <w:rPr>
                <w:rFonts w:hint="eastAsia" w:ascii="宋体" w:hAnsi="宋体" w:eastAsia="宋体" w:cs="宋体"/>
                <w:color w:val="auto"/>
                <w:kern w:val="0"/>
                <w:sz w:val="18"/>
                <w:szCs w:val="18"/>
                <w:lang w:val="en-US" w:eastAsia="zh-CN"/>
              </w:rPr>
              <w:t>3</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widowControl/>
              <w:jc w:val="center"/>
              <w:rPr>
                <w:rFonts w:hint="eastAsia" w:ascii="宋体" w:hAnsi="宋体" w:eastAsia="宋体" w:cs="宋体"/>
                <w:color w:val="auto"/>
                <w:kern w:val="0"/>
                <w:sz w:val="18"/>
                <w:szCs w:val="18"/>
              </w:rPr>
            </w:pPr>
            <w:r>
              <w:rPr>
                <w:rFonts w:hint="eastAsia" w:ascii="宋体" w:hAnsi="宋体" w:cs="宋体"/>
                <w:b/>
                <w:bCs/>
                <w:color w:val="auto"/>
                <w:kern w:val="0"/>
                <w:szCs w:val="21"/>
              </w:rPr>
              <w:t>小计</w:t>
            </w:r>
          </w:p>
        </w:tc>
        <w:tc>
          <w:tcPr>
            <w:tcW w:w="645"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178</w:t>
            </w:r>
          </w:p>
        </w:tc>
        <w:tc>
          <w:tcPr>
            <w:tcW w:w="640"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288</w:t>
            </w:r>
          </w:p>
        </w:tc>
        <w:tc>
          <w:tcPr>
            <w:tcW w:w="640"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466</w:t>
            </w:r>
          </w:p>
        </w:tc>
        <w:tc>
          <w:tcPr>
            <w:tcW w:w="659" w:type="dxa"/>
            <w:vAlign w:val="top"/>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24.5</w:t>
            </w:r>
          </w:p>
        </w:tc>
        <w:tc>
          <w:tcPr>
            <w:tcW w:w="713"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09"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262</w:t>
            </w:r>
          </w:p>
        </w:tc>
        <w:tc>
          <w:tcPr>
            <w:tcW w:w="709"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204</w:t>
            </w:r>
          </w:p>
        </w:tc>
        <w:tc>
          <w:tcPr>
            <w:tcW w:w="741"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rPr>
            </w:pPr>
          </w:p>
        </w:tc>
        <w:tc>
          <w:tcPr>
            <w:tcW w:w="681" w:type="dxa"/>
            <w:noWrap/>
            <w:vAlign w:val="center"/>
          </w:tcPr>
          <w:p>
            <w:pPr>
              <w:widowControl/>
              <w:jc w:val="center"/>
              <w:rPr>
                <w:rFonts w:hint="eastAsia" w:ascii="宋体" w:hAnsi="宋体" w:eastAsia="宋体" w:cs="宋体"/>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1" w:hRule="atLeast"/>
          <w:jc w:val="center"/>
        </w:trPr>
        <w:tc>
          <w:tcPr>
            <w:tcW w:w="426" w:type="dxa"/>
            <w:vMerge w:val="continue"/>
            <w:vAlign w:val="center"/>
          </w:tcPr>
          <w:p>
            <w:pPr>
              <w:widowControl/>
              <w:jc w:val="center"/>
              <w:rPr>
                <w:rFonts w:ascii="宋体" w:cs="宋体"/>
                <w:color w:val="auto"/>
                <w:kern w:val="0"/>
                <w:szCs w:val="21"/>
              </w:rPr>
            </w:pPr>
          </w:p>
        </w:tc>
        <w:tc>
          <w:tcPr>
            <w:tcW w:w="453" w:type="dxa"/>
            <w:gridSpan w:val="2"/>
            <w:vMerge w:val="restart"/>
            <w:vAlign w:val="center"/>
          </w:tcPr>
          <w:p>
            <w:pPr>
              <w:widowControl/>
              <w:jc w:val="center"/>
              <w:rPr>
                <w:rFonts w:ascii="宋体" w:cs="宋体"/>
                <w:color w:val="auto"/>
                <w:kern w:val="0"/>
                <w:szCs w:val="21"/>
              </w:rPr>
            </w:pPr>
            <w:r>
              <w:rPr>
                <w:rFonts w:hint="eastAsia" w:ascii="宋体" w:hAnsi="宋体" w:cs="宋体"/>
                <w:color w:val="auto"/>
                <w:kern w:val="0"/>
                <w:szCs w:val="21"/>
              </w:rPr>
              <w:t>职业技能训练</w:t>
            </w: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p>
        </w:tc>
        <w:tc>
          <w:tcPr>
            <w:tcW w:w="1977" w:type="dxa"/>
            <w:vAlign w:val="center"/>
          </w:tcPr>
          <w:p>
            <w:pPr>
              <w:spacing w:line="240" w:lineRule="exact"/>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钳工实训</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24*2</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实践</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7"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p>
        </w:tc>
        <w:tc>
          <w:tcPr>
            <w:tcW w:w="1977" w:type="dxa"/>
            <w:vAlign w:val="center"/>
          </w:tcPr>
          <w:p>
            <w:pPr>
              <w:adjustRightInd w:val="0"/>
              <w:snapToGrid w:val="0"/>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pacing w:val="-6"/>
                <w:sz w:val="18"/>
                <w:szCs w:val="18"/>
              </w:rPr>
              <w:t>焊工实训</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r>
              <w:rPr>
                <w:rFonts w:hint="eastAsia" w:ascii="宋体" w:hAnsi="宋体" w:eastAsia="宋体" w:cs="宋体"/>
                <w:color w:val="auto"/>
                <w:kern w:val="0"/>
                <w:sz w:val="18"/>
                <w:szCs w:val="18"/>
              </w:rPr>
              <w:t>*</w:t>
            </w:r>
            <w:r>
              <w:rPr>
                <w:rFonts w:hint="eastAsia" w:ascii="宋体" w:hAnsi="宋体" w:eastAsia="宋体" w:cs="宋体"/>
                <w:color w:val="auto"/>
                <w:kern w:val="0"/>
                <w:sz w:val="18"/>
                <w:szCs w:val="18"/>
                <w:lang w:val="en-US" w:eastAsia="zh-CN"/>
              </w:rPr>
              <w:t>2</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实践</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1977" w:type="dxa"/>
            <w:vAlign w:val="center"/>
          </w:tcPr>
          <w:p>
            <w:pPr>
              <w:spacing w:line="240" w:lineRule="exact"/>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机械加工实训</w:t>
            </w:r>
          </w:p>
        </w:tc>
        <w:tc>
          <w:tcPr>
            <w:tcW w:w="645"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val="en-US" w:eastAsia="zh-CN"/>
              </w:rPr>
              <w:t>144</w:t>
            </w:r>
          </w:p>
        </w:tc>
        <w:tc>
          <w:tcPr>
            <w:tcW w:w="640" w:type="dxa"/>
            <w:noWrap/>
            <w:vAlign w:val="center"/>
          </w:tcPr>
          <w:p>
            <w:pPr>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val="en-US" w:eastAsia="zh-CN"/>
              </w:rPr>
              <w:t>144</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6</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r>
              <w:rPr>
                <w:rFonts w:hint="eastAsia" w:ascii="宋体" w:hAnsi="宋体" w:eastAsia="宋体" w:cs="宋体"/>
                <w:color w:val="auto"/>
                <w:kern w:val="0"/>
                <w:sz w:val="18"/>
                <w:szCs w:val="18"/>
              </w:rPr>
              <w:t>*</w:t>
            </w:r>
            <w:r>
              <w:rPr>
                <w:rFonts w:hint="eastAsia" w:ascii="宋体" w:hAnsi="宋体" w:eastAsia="宋体" w:cs="宋体"/>
                <w:color w:val="auto"/>
                <w:kern w:val="0"/>
                <w:sz w:val="18"/>
                <w:szCs w:val="18"/>
                <w:lang w:val="en-US" w:eastAsia="zh-CN"/>
              </w:rPr>
              <w:t>6</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选考证</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1977" w:type="dxa"/>
            <w:vAlign w:val="center"/>
          </w:tcPr>
          <w:p>
            <w:pPr>
              <w:adjustRightInd w:val="0"/>
              <w:snapToGrid w:val="0"/>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数控加工实训</w:t>
            </w:r>
          </w:p>
        </w:tc>
        <w:tc>
          <w:tcPr>
            <w:tcW w:w="645"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val="en-US" w:eastAsia="zh-CN"/>
              </w:rPr>
              <w:t>96</w:t>
            </w:r>
          </w:p>
        </w:tc>
        <w:tc>
          <w:tcPr>
            <w:tcW w:w="640" w:type="dxa"/>
            <w:noWrap/>
            <w:vAlign w:val="center"/>
          </w:tcPr>
          <w:p>
            <w:pPr>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val="en-US" w:eastAsia="zh-CN"/>
              </w:rPr>
              <w:t>96</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713"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r>
              <w:rPr>
                <w:rFonts w:hint="eastAsia" w:ascii="宋体" w:hAnsi="宋体" w:eastAsia="宋体" w:cs="宋体"/>
                <w:color w:val="auto"/>
                <w:kern w:val="0"/>
                <w:sz w:val="18"/>
                <w:szCs w:val="18"/>
              </w:rPr>
              <w:t>*</w:t>
            </w:r>
            <w:r>
              <w:rPr>
                <w:rFonts w:hint="eastAsia" w:ascii="宋体" w:hAnsi="宋体" w:eastAsia="宋体" w:cs="宋体"/>
                <w:color w:val="auto"/>
                <w:kern w:val="0"/>
                <w:sz w:val="18"/>
                <w:szCs w:val="18"/>
                <w:lang w:val="en-US" w:eastAsia="zh-CN"/>
              </w:rPr>
              <w:t>4</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实践</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5</w:t>
            </w:r>
          </w:p>
        </w:tc>
        <w:tc>
          <w:tcPr>
            <w:tcW w:w="1977" w:type="dxa"/>
            <w:vAlign w:val="center"/>
          </w:tcPr>
          <w:p>
            <w:pPr>
              <w:adjustRightInd w:val="0"/>
              <w:snapToGrid w:val="0"/>
              <w:ind w:left="-131" w:leftChars="-63" w:right="-69" w:rightChars="-33" w:hanging="1" w:hangingChars="1"/>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 xml:space="preserve"> </w:t>
            </w:r>
            <w:r>
              <w:rPr>
                <w:rFonts w:hint="eastAsia" w:ascii="宋体" w:hAnsi="宋体" w:eastAsia="宋体" w:cs="宋体"/>
                <w:color w:val="auto"/>
                <w:kern w:val="0"/>
                <w:sz w:val="18"/>
                <w:szCs w:val="18"/>
                <w:lang w:eastAsia="zh-CN"/>
              </w:rPr>
              <w:t>机械拆装</w:t>
            </w:r>
            <w:r>
              <w:rPr>
                <w:rFonts w:hint="eastAsia" w:ascii="宋体" w:hAnsi="宋体" w:eastAsia="宋体" w:cs="宋体"/>
                <w:color w:val="auto"/>
                <w:kern w:val="0"/>
                <w:sz w:val="18"/>
                <w:szCs w:val="18"/>
              </w:rPr>
              <w:t>实训</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40" w:type="dxa"/>
            <w:noWrap/>
            <w:vAlign w:val="center"/>
          </w:tcPr>
          <w:p>
            <w:pPr>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r>
              <w:rPr>
                <w:rFonts w:hint="eastAsia" w:ascii="宋体" w:hAnsi="宋体" w:eastAsia="宋体" w:cs="宋体"/>
                <w:color w:val="auto"/>
                <w:kern w:val="0"/>
                <w:sz w:val="18"/>
                <w:szCs w:val="18"/>
              </w:rPr>
              <w:t>*2</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实践</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widowControl/>
              <w:jc w:val="center"/>
              <w:rPr>
                <w:rFonts w:ascii="宋体" w:cs="宋体"/>
                <w:color w:val="auto"/>
                <w:kern w:val="0"/>
                <w:szCs w:val="21"/>
              </w:rPr>
            </w:pPr>
            <w:r>
              <w:rPr>
                <w:rFonts w:hint="eastAsia" w:ascii="宋体" w:hAnsi="宋体" w:cs="宋体"/>
                <w:b/>
                <w:bCs/>
                <w:color w:val="auto"/>
                <w:kern w:val="0"/>
                <w:szCs w:val="21"/>
              </w:rPr>
              <w:t>小计</w:t>
            </w:r>
          </w:p>
        </w:tc>
        <w:tc>
          <w:tcPr>
            <w:tcW w:w="645"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0</w:t>
            </w:r>
          </w:p>
        </w:tc>
        <w:tc>
          <w:tcPr>
            <w:tcW w:w="640" w:type="dxa"/>
            <w:noWrap/>
            <w:vAlign w:val="center"/>
          </w:tcPr>
          <w:p>
            <w:pPr>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384</w:t>
            </w:r>
          </w:p>
        </w:tc>
        <w:tc>
          <w:tcPr>
            <w:tcW w:w="640" w:type="dxa"/>
            <w:noWrap/>
            <w:vAlign w:val="center"/>
          </w:tcPr>
          <w:p>
            <w:pPr>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384</w:t>
            </w:r>
          </w:p>
        </w:tc>
        <w:tc>
          <w:tcPr>
            <w:tcW w:w="659" w:type="dxa"/>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16</w:t>
            </w:r>
          </w:p>
        </w:tc>
        <w:tc>
          <w:tcPr>
            <w:tcW w:w="713" w:type="dxa"/>
            <w:noWrap/>
            <w:vAlign w:val="center"/>
          </w:tcPr>
          <w:p>
            <w:pPr>
              <w:jc w:val="center"/>
              <w:rPr>
                <w:rFonts w:hint="eastAsia" w:ascii="宋体" w:hAnsi="宋体" w:eastAsia="宋体" w:cs="宋体"/>
                <w:b/>
                <w:bCs/>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96</w:t>
            </w:r>
          </w:p>
        </w:tc>
        <w:tc>
          <w:tcPr>
            <w:tcW w:w="709"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144</w:t>
            </w:r>
          </w:p>
        </w:tc>
        <w:tc>
          <w:tcPr>
            <w:tcW w:w="709"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144</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p>
        </w:tc>
        <w:tc>
          <w:tcPr>
            <w:tcW w:w="681" w:type="dxa"/>
            <w:noWrap/>
            <w:vAlign w:val="center"/>
          </w:tcPr>
          <w:p>
            <w:pPr>
              <w:widowControl/>
              <w:jc w:val="left"/>
              <w:rPr>
                <w:rFonts w:asci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ascii="宋体" w:cs="宋体"/>
                <w:color w:val="auto"/>
                <w:kern w:val="0"/>
                <w:szCs w:val="21"/>
              </w:rPr>
            </w:pPr>
          </w:p>
        </w:tc>
        <w:tc>
          <w:tcPr>
            <w:tcW w:w="453" w:type="dxa"/>
            <w:gridSpan w:val="2"/>
            <w:vMerge w:val="restart"/>
            <w:vAlign w:val="center"/>
          </w:tcPr>
          <w:p>
            <w:pPr>
              <w:widowControl/>
              <w:jc w:val="center"/>
              <w:rPr>
                <w:rFonts w:ascii="宋体" w:cs="宋体"/>
                <w:color w:val="auto"/>
                <w:kern w:val="0"/>
                <w:szCs w:val="21"/>
              </w:rPr>
            </w:pPr>
            <w:r>
              <w:rPr>
                <w:rFonts w:hint="eastAsia" w:ascii="宋体" w:hAnsi="宋体" w:cs="宋体"/>
                <w:color w:val="auto"/>
                <w:kern w:val="0"/>
                <w:szCs w:val="21"/>
              </w:rPr>
              <w:t>综合实践</w:t>
            </w: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1</w:t>
            </w:r>
          </w:p>
        </w:tc>
        <w:tc>
          <w:tcPr>
            <w:tcW w:w="1977" w:type="dxa"/>
            <w:vAlign w:val="center"/>
          </w:tcPr>
          <w:p>
            <w:pPr>
              <w:widowControl/>
              <w:jc w:val="left"/>
              <w:rPr>
                <w:rFonts w:ascii="宋体" w:cs="宋体"/>
                <w:color w:val="auto"/>
                <w:kern w:val="0"/>
                <w:szCs w:val="21"/>
              </w:rPr>
            </w:pPr>
            <w:r>
              <w:rPr>
                <w:rFonts w:hint="eastAsia" w:ascii="宋体" w:hAnsi="宋体" w:cs="宋体"/>
                <w:color w:val="auto"/>
                <w:kern w:val="0"/>
                <w:szCs w:val="21"/>
              </w:rPr>
              <w:t>专业综合技能训练（或跟岗实习）</w:t>
            </w:r>
          </w:p>
        </w:tc>
        <w:tc>
          <w:tcPr>
            <w:tcW w:w="645" w:type="dxa"/>
            <w:noWrap/>
            <w:vAlign w:val="center"/>
          </w:tcPr>
          <w:p>
            <w:pPr>
              <w:widowControl/>
              <w:jc w:val="left"/>
              <w:rPr>
                <w:rFonts w:ascii="宋体" w:cs="宋体"/>
                <w:color w:val="auto"/>
                <w:kern w:val="0"/>
                <w:szCs w:val="21"/>
              </w:rPr>
            </w:pPr>
            <w:r>
              <w:rPr>
                <w:rFonts w:ascii="宋体" w:cs="宋体"/>
                <w:color w:val="auto"/>
                <w:kern w:val="0"/>
                <w:szCs w:val="21"/>
              </w:rPr>
              <w:t>0</w:t>
            </w:r>
          </w:p>
        </w:tc>
        <w:tc>
          <w:tcPr>
            <w:tcW w:w="640" w:type="dxa"/>
            <w:noWrap/>
            <w:vAlign w:val="center"/>
          </w:tcPr>
          <w:p>
            <w:pPr>
              <w:widowControl/>
              <w:jc w:val="left"/>
              <w:rPr>
                <w:rFonts w:ascii="宋体" w:cs="宋体"/>
                <w:color w:val="auto"/>
                <w:kern w:val="0"/>
                <w:szCs w:val="21"/>
              </w:rPr>
            </w:pPr>
            <w:r>
              <w:rPr>
                <w:rFonts w:hint="eastAsia" w:ascii="宋体" w:hAnsi="宋体" w:cs="宋体"/>
                <w:color w:val="auto"/>
                <w:kern w:val="0"/>
                <w:szCs w:val="21"/>
              </w:rPr>
              <w:t>160</w:t>
            </w:r>
          </w:p>
        </w:tc>
        <w:tc>
          <w:tcPr>
            <w:tcW w:w="640" w:type="dxa"/>
            <w:noWrap/>
            <w:vAlign w:val="center"/>
          </w:tcPr>
          <w:p>
            <w:pPr>
              <w:widowControl/>
              <w:jc w:val="left"/>
              <w:rPr>
                <w:rFonts w:ascii="宋体" w:cs="宋体"/>
                <w:color w:val="auto"/>
                <w:kern w:val="0"/>
                <w:szCs w:val="21"/>
              </w:rPr>
            </w:pPr>
            <w:r>
              <w:rPr>
                <w:rFonts w:hint="eastAsia" w:ascii="宋体" w:hAnsi="宋体" w:cs="宋体"/>
                <w:color w:val="auto"/>
                <w:kern w:val="0"/>
                <w:szCs w:val="21"/>
              </w:rPr>
              <w:t>160</w:t>
            </w:r>
          </w:p>
        </w:tc>
        <w:tc>
          <w:tcPr>
            <w:tcW w:w="659" w:type="dxa"/>
            <w:vAlign w:val="center"/>
          </w:tcPr>
          <w:p>
            <w:pPr>
              <w:widowControl/>
              <w:rPr>
                <w:rFonts w:ascii="宋体" w:hAnsi="宋体" w:cs="宋体"/>
                <w:color w:val="auto"/>
                <w:kern w:val="0"/>
                <w:szCs w:val="21"/>
              </w:rPr>
            </w:pPr>
            <w:r>
              <w:rPr>
                <w:rFonts w:hint="eastAsia" w:ascii="宋体" w:hAnsi="宋体" w:cs="宋体"/>
                <w:color w:val="auto"/>
                <w:kern w:val="0"/>
                <w:szCs w:val="21"/>
              </w:rPr>
              <w:t>8</w:t>
            </w:r>
          </w:p>
        </w:tc>
        <w:tc>
          <w:tcPr>
            <w:tcW w:w="71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6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41"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8</w:t>
            </w:r>
            <w:r>
              <w:rPr>
                <w:rFonts w:ascii="宋体" w:hAnsi="宋体" w:cs="宋体"/>
                <w:color w:val="auto"/>
                <w:kern w:val="0"/>
                <w:szCs w:val="21"/>
              </w:rPr>
              <w:t>*2</w:t>
            </w:r>
            <w:r>
              <w:rPr>
                <w:rFonts w:hint="eastAsia" w:ascii="宋体" w:hAnsi="宋体" w:cs="宋体"/>
                <w:color w:val="auto"/>
                <w:kern w:val="0"/>
                <w:szCs w:val="21"/>
              </w:rPr>
              <w:t>0</w:t>
            </w:r>
          </w:p>
        </w:tc>
        <w:tc>
          <w:tcPr>
            <w:tcW w:w="74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实习报告</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2</w:t>
            </w:r>
          </w:p>
        </w:tc>
        <w:tc>
          <w:tcPr>
            <w:tcW w:w="1977" w:type="dxa"/>
            <w:vAlign w:val="center"/>
          </w:tcPr>
          <w:p>
            <w:pPr>
              <w:widowControl/>
              <w:jc w:val="left"/>
              <w:rPr>
                <w:rFonts w:ascii="宋体" w:cs="宋体"/>
                <w:color w:val="auto"/>
                <w:kern w:val="0"/>
                <w:szCs w:val="21"/>
              </w:rPr>
            </w:pPr>
            <w:r>
              <w:rPr>
                <w:rFonts w:hint="eastAsia" w:ascii="宋体" w:hAnsi="宋体" w:cs="宋体"/>
                <w:color w:val="auto"/>
                <w:kern w:val="0"/>
                <w:szCs w:val="21"/>
              </w:rPr>
              <w:t>顶岗实习</w:t>
            </w:r>
          </w:p>
        </w:tc>
        <w:tc>
          <w:tcPr>
            <w:tcW w:w="645" w:type="dxa"/>
            <w:noWrap/>
            <w:vAlign w:val="center"/>
          </w:tcPr>
          <w:p>
            <w:pPr>
              <w:widowControl/>
              <w:jc w:val="left"/>
              <w:rPr>
                <w:rFonts w:ascii="宋体" w:cs="宋体"/>
                <w:color w:val="auto"/>
                <w:kern w:val="0"/>
                <w:szCs w:val="21"/>
              </w:rPr>
            </w:pPr>
            <w:r>
              <w:rPr>
                <w:rFonts w:ascii="宋体" w:cs="宋体"/>
                <w:color w:val="auto"/>
                <w:kern w:val="0"/>
                <w:szCs w:val="21"/>
              </w:rPr>
              <w:t>0</w:t>
            </w:r>
          </w:p>
        </w:tc>
        <w:tc>
          <w:tcPr>
            <w:tcW w:w="640" w:type="dxa"/>
            <w:noWrap/>
            <w:vAlign w:val="center"/>
          </w:tcPr>
          <w:p>
            <w:pPr>
              <w:widowControl/>
              <w:jc w:val="left"/>
              <w:rPr>
                <w:rFonts w:ascii="宋体" w:cs="宋体"/>
                <w:color w:val="auto"/>
                <w:kern w:val="0"/>
                <w:szCs w:val="21"/>
              </w:rPr>
            </w:pPr>
            <w:r>
              <w:rPr>
                <w:rFonts w:hint="eastAsia" w:ascii="宋体" w:hAnsi="宋体" w:cs="宋体"/>
                <w:color w:val="auto"/>
                <w:kern w:val="0"/>
                <w:szCs w:val="21"/>
              </w:rPr>
              <w:t>48</w:t>
            </w:r>
            <w:r>
              <w:rPr>
                <w:rFonts w:ascii="宋体" w:hAnsi="宋体" w:cs="宋体"/>
                <w:color w:val="auto"/>
                <w:kern w:val="0"/>
                <w:szCs w:val="21"/>
              </w:rPr>
              <w:t>0</w:t>
            </w:r>
          </w:p>
        </w:tc>
        <w:tc>
          <w:tcPr>
            <w:tcW w:w="640" w:type="dxa"/>
            <w:noWrap/>
            <w:vAlign w:val="center"/>
          </w:tcPr>
          <w:p>
            <w:pPr>
              <w:widowControl/>
              <w:jc w:val="left"/>
              <w:rPr>
                <w:rFonts w:ascii="宋体" w:cs="宋体"/>
                <w:color w:val="auto"/>
                <w:kern w:val="0"/>
                <w:szCs w:val="21"/>
              </w:rPr>
            </w:pPr>
            <w:r>
              <w:rPr>
                <w:rFonts w:hint="eastAsia" w:ascii="宋体" w:hAnsi="宋体" w:cs="宋体"/>
                <w:color w:val="auto"/>
                <w:kern w:val="0"/>
                <w:szCs w:val="21"/>
              </w:rPr>
              <w:t>48</w:t>
            </w:r>
            <w:r>
              <w:rPr>
                <w:rFonts w:ascii="宋体" w:hAnsi="宋体" w:cs="宋体"/>
                <w:color w:val="auto"/>
                <w:kern w:val="0"/>
                <w:szCs w:val="21"/>
              </w:rPr>
              <w:t>0</w:t>
            </w:r>
          </w:p>
        </w:tc>
        <w:tc>
          <w:tcPr>
            <w:tcW w:w="659" w:type="dxa"/>
            <w:vAlign w:val="center"/>
          </w:tcPr>
          <w:p>
            <w:pPr>
              <w:widowControl/>
              <w:rPr>
                <w:rFonts w:ascii="宋体" w:hAnsi="宋体" w:cs="宋体"/>
                <w:color w:val="auto"/>
                <w:kern w:val="0"/>
                <w:szCs w:val="21"/>
              </w:rPr>
            </w:pPr>
            <w:r>
              <w:rPr>
                <w:rFonts w:hint="eastAsia" w:ascii="宋体" w:hAnsi="宋体" w:cs="宋体"/>
                <w:color w:val="auto"/>
                <w:kern w:val="0"/>
                <w:szCs w:val="21"/>
              </w:rPr>
              <w:t>24</w:t>
            </w:r>
          </w:p>
        </w:tc>
        <w:tc>
          <w:tcPr>
            <w:tcW w:w="71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6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41" w:type="dxa"/>
            <w:noWrap/>
            <w:vAlign w:val="center"/>
          </w:tcPr>
          <w:p>
            <w:pPr>
              <w:widowControl/>
              <w:rPr>
                <w:rFonts w:ascii="宋体" w:cs="宋体"/>
                <w:color w:val="auto"/>
                <w:kern w:val="0"/>
                <w:szCs w:val="21"/>
              </w:rPr>
            </w:pPr>
            <w:r>
              <w:rPr>
                <w:rFonts w:hint="eastAsia" w:ascii="宋体" w:hAnsi="宋体" w:cs="宋体"/>
                <w:color w:val="auto"/>
                <w:kern w:val="0"/>
                <w:szCs w:val="21"/>
              </w:rPr>
              <w:t>8*20</w:t>
            </w:r>
          </w:p>
        </w:tc>
        <w:tc>
          <w:tcPr>
            <w:tcW w:w="74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16</w:t>
            </w:r>
            <w:r>
              <w:rPr>
                <w:rFonts w:ascii="宋体" w:hAnsi="宋体" w:cs="宋体"/>
                <w:color w:val="auto"/>
                <w:kern w:val="0"/>
                <w:szCs w:val="21"/>
              </w:rPr>
              <w:t>*20</w:t>
            </w: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实习报告</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645" w:type="dxa"/>
            <w:noWrap/>
            <w:vAlign w:val="center"/>
          </w:tcPr>
          <w:p>
            <w:pPr>
              <w:widowControl/>
              <w:jc w:val="center"/>
              <w:rPr>
                <w:rFonts w:ascii="宋体" w:cs="宋体"/>
                <w:b/>
                <w:bCs/>
                <w:color w:val="auto"/>
                <w:kern w:val="0"/>
                <w:szCs w:val="21"/>
              </w:rPr>
            </w:pPr>
            <w:r>
              <w:rPr>
                <w:rFonts w:ascii="宋体" w:cs="宋体"/>
                <w:b/>
                <w:bCs/>
                <w:color w:val="auto"/>
                <w:kern w:val="0"/>
                <w:szCs w:val="21"/>
              </w:rPr>
              <w:t>0</w:t>
            </w:r>
          </w:p>
        </w:tc>
        <w:tc>
          <w:tcPr>
            <w:tcW w:w="640"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640</w:t>
            </w:r>
          </w:p>
        </w:tc>
        <w:tc>
          <w:tcPr>
            <w:tcW w:w="640"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640</w:t>
            </w:r>
          </w:p>
        </w:tc>
        <w:tc>
          <w:tcPr>
            <w:tcW w:w="659" w:type="dxa"/>
          </w:tcPr>
          <w:p>
            <w:pPr>
              <w:widowControl/>
              <w:jc w:val="left"/>
              <w:rPr>
                <w:rFonts w:ascii="宋体" w:hAnsi="宋体" w:cs="宋体"/>
                <w:b/>
                <w:bCs/>
                <w:color w:val="auto"/>
                <w:kern w:val="0"/>
                <w:szCs w:val="21"/>
              </w:rPr>
            </w:pPr>
            <w:r>
              <w:rPr>
                <w:rFonts w:hint="eastAsia" w:ascii="宋体" w:hAnsi="宋体" w:cs="宋体"/>
                <w:b/>
                <w:bCs/>
                <w:color w:val="auto"/>
                <w:kern w:val="0"/>
                <w:szCs w:val="21"/>
              </w:rPr>
              <w:t>32</w:t>
            </w:r>
          </w:p>
        </w:tc>
        <w:tc>
          <w:tcPr>
            <w:tcW w:w="713" w:type="dxa"/>
            <w:noWrap/>
            <w:vAlign w:val="center"/>
          </w:tcPr>
          <w:p>
            <w:pPr>
              <w:widowControl/>
              <w:ind w:firstLine="211" w:firstLineChars="100"/>
              <w:jc w:val="left"/>
              <w:rPr>
                <w:rFonts w:ascii="宋体" w:cs="宋体"/>
                <w:b/>
                <w:bCs/>
                <w:color w:val="auto"/>
                <w:kern w:val="0"/>
                <w:szCs w:val="21"/>
              </w:rPr>
            </w:pPr>
          </w:p>
        </w:tc>
        <w:tc>
          <w:tcPr>
            <w:tcW w:w="769"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709"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709"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320　</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320　</w:t>
            </w:r>
          </w:p>
        </w:tc>
        <w:tc>
          <w:tcPr>
            <w:tcW w:w="823"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color w:val="auto"/>
                <w:kern w:val="0"/>
                <w:szCs w:val="21"/>
              </w:rPr>
            </w:pPr>
            <w:r>
              <w:rPr>
                <w:rFonts w:hint="eastAsia" w:ascii="宋体" w:hAnsi="宋体" w:cs="宋体"/>
                <w:b/>
                <w:color w:val="auto"/>
                <w:kern w:val="0"/>
                <w:szCs w:val="21"/>
              </w:rPr>
              <w:t>周课时</w:t>
            </w:r>
          </w:p>
        </w:tc>
        <w:tc>
          <w:tcPr>
            <w:tcW w:w="645" w:type="dxa"/>
            <w:noWrap/>
            <w:vAlign w:val="center"/>
          </w:tcPr>
          <w:p>
            <w:pPr>
              <w:widowControl/>
              <w:jc w:val="center"/>
              <w:rPr>
                <w:rFonts w:ascii="宋体" w:cs="宋体"/>
                <w:b/>
                <w:color w:val="auto"/>
                <w:kern w:val="0"/>
                <w:szCs w:val="21"/>
              </w:rPr>
            </w:pPr>
          </w:p>
        </w:tc>
        <w:tc>
          <w:tcPr>
            <w:tcW w:w="640" w:type="dxa"/>
            <w:noWrap/>
            <w:vAlign w:val="center"/>
          </w:tcPr>
          <w:p>
            <w:pPr>
              <w:widowControl/>
              <w:jc w:val="center"/>
              <w:rPr>
                <w:rFonts w:ascii="宋体" w:cs="宋体"/>
                <w:b/>
                <w:color w:val="auto"/>
                <w:kern w:val="0"/>
                <w:szCs w:val="21"/>
              </w:rPr>
            </w:pPr>
          </w:p>
        </w:tc>
        <w:tc>
          <w:tcPr>
            <w:tcW w:w="640" w:type="dxa"/>
            <w:noWrap/>
            <w:vAlign w:val="center"/>
          </w:tcPr>
          <w:p>
            <w:pPr>
              <w:widowControl/>
              <w:jc w:val="center"/>
              <w:rPr>
                <w:rFonts w:ascii="宋体" w:cs="宋体"/>
                <w:b/>
                <w:color w:val="auto"/>
                <w:kern w:val="0"/>
                <w:szCs w:val="21"/>
              </w:rPr>
            </w:pPr>
          </w:p>
        </w:tc>
        <w:tc>
          <w:tcPr>
            <w:tcW w:w="659" w:type="dxa"/>
          </w:tcPr>
          <w:p>
            <w:pPr>
              <w:widowControl/>
              <w:ind w:firstLine="103" w:firstLineChars="49"/>
              <w:jc w:val="center"/>
              <w:rPr>
                <w:rFonts w:ascii="宋体" w:hAnsi="宋体" w:cs="宋体"/>
                <w:b/>
                <w:bCs/>
                <w:color w:val="auto"/>
                <w:kern w:val="0"/>
                <w:szCs w:val="21"/>
              </w:rPr>
            </w:pPr>
          </w:p>
        </w:tc>
        <w:tc>
          <w:tcPr>
            <w:tcW w:w="713" w:type="dxa"/>
            <w:noWrap/>
            <w:vAlign w:val="center"/>
          </w:tcPr>
          <w:p>
            <w:pPr>
              <w:widowControl/>
              <w:ind w:firstLine="103" w:firstLineChars="49"/>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20</w:t>
            </w:r>
          </w:p>
        </w:tc>
        <w:tc>
          <w:tcPr>
            <w:tcW w:w="769"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25</w:t>
            </w:r>
          </w:p>
        </w:tc>
        <w:tc>
          <w:tcPr>
            <w:tcW w:w="709" w:type="dxa"/>
            <w:noWrap/>
            <w:vAlign w:val="center"/>
          </w:tcPr>
          <w:p>
            <w:pPr>
              <w:widowControl/>
              <w:ind w:firstLine="207" w:firstLineChars="98"/>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24</w:t>
            </w:r>
          </w:p>
        </w:tc>
        <w:tc>
          <w:tcPr>
            <w:tcW w:w="709"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24</w:t>
            </w:r>
          </w:p>
        </w:tc>
        <w:tc>
          <w:tcPr>
            <w:tcW w:w="741" w:type="dxa"/>
            <w:noWrap/>
            <w:vAlign w:val="center"/>
          </w:tcPr>
          <w:p>
            <w:pPr>
              <w:widowControl/>
              <w:jc w:val="center"/>
              <w:rPr>
                <w:rFonts w:ascii="宋体" w:cs="宋体"/>
                <w:b/>
                <w:color w:val="auto"/>
                <w:kern w:val="0"/>
                <w:szCs w:val="21"/>
              </w:rPr>
            </w:pPr>
          </w:p>
        </w:tc>
        <w:tc>
          <w:tcPr>
            <w:tcW w:w="741" w:type="dxa"/>
            <w:noWrap/>
            <w:vAlign w:val="center"/>
          </w:tcPr>
          <w:p>
            <w:pPr>
              <w:widowControl/>
              <w:jc w:val="center"/>
              <w:rPr>
                <w:rFonts w:ascii="宋体" w:cs="宋体"/>
                <w:b/>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总课时</w:t>
            </w:r>
          </w:p>
        </w:tc>
        <w:tc>
          <w:tcPr>
            <w:tcW w:w="645"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976</w:t>
            </w:r>
          </w:p>
        </w:tc>
        <w:tc>
          <w:tcPr>
            <w:tcW w:w="640"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1524</w:t>
            </w:r>
          </w:p>
        </w:tc>
        <w:tc>
          <w:tcPr>
            <w:tcW w:w="640"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2500</w:t>
            </w:r>
          </w:p>
        </w:tc>
        <w:tc>
          <w:tcPr>
            <w:tcW w:w="659" w:type="dxa"/>
          </w:tcPr>
          <w:p>
            <w:pPr>
              <w:widowControl/>
              <w:jc w:val="center"/>
              <w:rPr>
                <w:rFonts w:hint="default" w:ascii="宋体" w:hAnsi="宋体" w:cs="宋体" w:eastAsiaTheme="minorEastAsia"/>
                <w:b/>
                <w:color w:val="auto"/>
                <w:kern w:val="0"/>
                <w:szCs w:val="21"/>
                <w:lang w:val="en-US" w:eastAsia="zh-CN"/>
              </w:rPr>
            </w:pPr>
            <w:r>
              <w:rPr>
                <w:rFonts w:hint="eastAsia" w:ascii="宋体" w:hAnsi="宋体" w:cs="宋体"/>
                <w:b/>
                <w:color w:val="auto"/>
                <w:kern w:val="0"/>
                <w:szCs w:val="21"/>
                <w:lang w:val="en-US" w:eastAsia="zh-CN"/>
              </w:rPr>
              <w:t>130.5</w:t>
            </w:r>
          </w:p>
        </w:tc>
        <w:tc>
          <w:tcPr>
            <w:tcW w:w="713" w:type="dxa"/>
            <w:noWrap/>
            <w:vAlign w:val="center"/>
          </w:tcPr>
          <w:p>
            <w:pPr>
              <w:widowControl/>
              <w:jc w:val="center"/>
              <w:rPr>
                <w:rFonts w:hint="default" w:ascii="宋体" w:cs="宋体" w:hAnsiTheme="minorHAnsi" w:eastAsiaTheme="minorEastAsia"/>
                <w:b/>
                <w:color w:val="auto"/>
                <w:kern w:val="0"/>
                <w:sz w:val="21"/>
                <w:szCs w:val="21"/>
                <w:lang w:val="en-US" w:eastAsia="zh-CN" w:bidi="ar-SA"/>
              </w:rPr>
            </w:pPr>
            <w:r>
              <w:rPr>
                <w:rFonts w:hint="eastAsia" w:ascii="宋体" w:cs="宋体"/>
                <w:b/>
                <w:color w:val="auto"/>
                <w:kern w:val="0"/>
                <w:szCs w:val="21"/>
                <w:lang w:val="en-US" w:eastAsia="zh-CN"/>
              </w:rPr>
              <w:t>400</w:t>
            </w:r>
          </w:p>
        </w:tc>
        <w:tc>
          <w:tcPr>
            <w:tcW w:w="769" w:type="dxa"/>
            <w:noWrap/>
            <w:vAlign w:val="center"/>
          </w:tcPr>
          <w:p>
            <w:pPr>
              <w:widowControl/>
              <w:jc w:val="center"/>
              <w:rPr>
                <w:rFonts w:hint="default" w:ascii="宋体" w:cs="宋体" w:hAnsiTheme="minorHAnsi" w:eastAsiaTheme="minorEastAsia"/>
                <w:b/>
                <w:color w:val="auto"/>
                <w:kern w:val="0"/>
                <w:sz w:val="21"/>
                <w:szCs w:val="21"/>
                <w:lang w:val="en-US" w:eastAsia="zh-CN" w:bidi="ar-SA"/>
              </w:rPr>
            </w:pPr>
            <w:r>
              <w:rPr>
                <w:rFonts w:hint="eastAsia" w:ascii="宋体" w:cs="宋体"/>
                <w:b/>
                <w:color w:val="auto"/>
                <w:kern w:val="0"/>
                <w:szCs w:val="21"/>
                <w:lang w:val="en-US" w:eastAsia="zh-CN"/>
              </w:rPr>
              <w:t>504</w:t>
            </w:r>
          </w:p>
        </w:tc>
        <w:tc>
          <w:tcPr>
            <w:tcW w:w="709" w:type="dxa"/>
            <w:noWrap/>
            <w:vAlign w:val="center"/>
          </w:tcPr>
          <w:p>
            <w:pPr>
              <w:widowControl/>
              <w:jc w:val="center"/>
              <w:rPr>
                <w:rFonts w:hint="default" w:ascii="宋体" w:cs="宋体" w:hAnsiTheme="minorHAnsi" w:eastAsiaTheme="minorEastAsia"/>
                <w:b/>
                <w:color w:val="auto"/>
                <w:kern w:val="0"/>
                <w:sz w:val="21"/>
                <w:szCs w:val="21"/>
                <w:lang w:val="en-US" w:eastAsia="zh-CN" w:bidi="ar-SA"/>
              </w:rPr>
            </w:pPr>
            <w:r>
              <w:rPr>
                <w:rFonts w:hint="eastAsia" w:ascii="宋体" w:cs="宋体"/>
                <w:b/>
                <w:color w:val="auto"/>
                <w:kern w:val="0"/>
                <w:szCs w:val="21"/>
                <w:lang w:val="en-US" w:eastAsia="zh-CN"/>
              </w:rPr>
              <w:t>472</w:t>
            </w:r>
          </w:p>
        </w:tc>
        <w:tc>
          <w:tcPr>
            <w:tcW w:w="709" w:type="dxa"/>
            <w:noWrap/>
            <w:vAlign w:val="center"/>
          </w:tcPr>
          <w:p>
            <w:pPr>
              <w:widowControl/>
              <w:jc w:val="center"/>
              <w:rPr>
                <w:rFonts w:hint="default" w:ascii="宋体" w:cs="宋体" w:hAnsiTheme="minorHAnsi" w:eastAsiaTheme="minorEastAsia"/>
                <w:b/>
                <w:color w:val="auto"/>
                <w:kern w:val="0"/>
                <w:sz w:val="21"/>
                <w:szCs w:val="21"/>
                <w:lang w:val="en-US" w:eastAsia="zh-CN" w:bidi="ar-SA"/>
              </w:rPr>
            </w:pPr>
            <w:r>
              <w:rPr>
                <w:rFonts w:hint="eastAsia" w:ascii="宋体" w:cs="宋体"/>
                <w:b/>
                <w:color w:val="auto"/>
                <w:kern w:val="0"/>
                <w:szCs w:val="21"/>
                <w:lang w:val="en-US" w:eastAsia="zh-CN"/>
              </w:rPr>
              <w:t>484</w:t>
            </w:r>
          </w:p>
        </w:tc>
        <w:tc>
          <w:tcPr>
            <w:tcW w:w="741"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320</w:t>
            </w:r>
          </w:p>
        </w:tc>
        <w:tc>
          <w:tcPr>
            <w:tcW w:w="741"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320</w:t>
            </w:r>
          </w:p>
        </w:tc>
        <w:tc>
          <w:tcPr>
            <w:tcW w:w="823"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bl>
    <w:p>
      <w:pPr>
        <w:widowControl w:val="0"/>
        <w:numPr>
          <w:ilvl w:val="0"/>
          <w:numId w:val="0"/>
        </w:numPr>
        <w:adjustRightInd w:val="0"/>
        <w:spacing w:line="560" w:lineRule="exact"/>
        <w:jc w:val="both"/>
        <w:rPr>
          <w:rFonts w:ascii="黑体" w:hAnsi="黑体" w:eastAsia="黑体"/>
          <w:b/>
          <w:color w:val="auto"/>
          <w:sz w:val="24"/>
          <w:szCs w:val="24"/>
        </w:rPr>
      </w:pPr>
    </w:p>
    <w:p>
      <w:pPr>
        <w:adjustRightInd w:val="0"/>
        <w:spacing w:line="560" w:lineRule="exact"/>
        <w:ind w:firstLine="482" w:firstLineChars="200"/>
        <w:rPr>
          <w:rFonts w:ascii="黑体" w:hAnsi="黑体" w:eastAsia="黑体"/>
          <w:b/>
          <w:color w:val="auto"/>
          <w:sz w:val="24"/>
          <w:szCs w:val="24"/>
        </w:rPr>
      </w:pPr>
      <w:r>
        <w:rPr>
          <w:rFonts w:hint="eastAsia" w:ascii="黑体" w:hAnsi="黑体" w:eastAsia="黑体"/>
          <w:b/>
          <w:color w:val="auto"/>
          <w:sz w:val="24"/>
          <w:szCs w:val="24"/>
        </w:rPr>
        <w:t>八、学时分类统计表</w:t>
      </w:r>
    </w:p>
    <w:tbl>
      <w:tblPr>
        <w:tblStyle w:val="12"/>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96"/>
        <w:gridCol w:w="1751"/>
        <w:gridCol w:w="1751"/>
        <w:gridCol w:w="1364"/>
        <w:gridCol w:w="156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课程类型</w:t>
            </w:r>
          </w:p>
        </w:tc>
        <w:tc>
          <w:tcPr>
            <w:tcW w:w="1027"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理论课时</w:t>
            </w:r>
          </w:p>
        </w:tc>
        <w:tc>
          <w:tcPr>
            <w:tcW w:w="1027"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实践课时</w:t>
            </w:r>
          </w:p>
        </w:tc>
        <w:tc>
          <w:tcPr>
            <w:tcW w:w="800"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小计</w:t>
            </w:r>
          </w:p>
        </w:tc>
        <w:tc>
          <w:tcPr>
            <w:tcW w:w="914"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ascii="宋体" w:hAnsi="宋体" w:cs="宋体"/>
                <w:b/>
                <w:color w:val="auto"/>
                <w:kern w:val="0"/>
                <w:sz w:val="24"/>
                <w:szCs w:val="21"/>
              </w:rPr>
              <w:t>公共基础</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632</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w:t>
            </w:r>
          </w:p>
        </w:tc>
        <w:tc>
          <w:tcPr>
            <w:tcW w:w="800"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660</w:t>
            </w:r>
          </w:p>
        </w:tc>
        <w:tc>
          <w:tcPr>
            <w:tcW w:w="914"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其中：</w:t>
            </w:r>
            <w:r>
              <w:rPr>
                <w:rFonts w:ascii="宋体" w:hAnsi="宋体" w:cs="宋体"/>
                <w:b/>
                <w:color w:val="auto"/>
                <w:kern w:val="0"/>
                <w:sz w:val="24"/>
                <w:szCs w:val="21"/>
              </w:rPr>
              <w:t>选修课</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252</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0</w:t>
            </w:r>
          </w:p>
        </w:tc>
        <w:tc>
          <w:tcPr>
            <w:tcW w:w="800"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252</w:t>
            </w:r>
          </w:p>
        </w:tc>
        <w:tc>
          <w:tcPr>
            <w:tcW w:w="914"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专业（技能）课</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344</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1496</w:t>
            </w:r>
          </w:p>
        </w:tc>
        <w:tc>
          <w:tcPr>
            <w:tcW w:w="800"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1840</w:t>
            </w:r>
          </w:p>
        </w:tc>
        <w:tc>
          <w:tcPr>
            <w:tcW w:w="914"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73.6%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合计</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976</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1524</w:t>
            </w:r>
          </w:p>
        </w:tc>
        <w:tc>
          <w:tcPr>
            <w:tcW w:w="800"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2500</w:t>
            </w:r>
          </w:p>
        </w:tc>
        <w:tc>
          <w:tcPr>
            <w:tcW w:w="914" w:type="pct"/>
            <w:vAlign w:val="center"/>
          </w:tcPr>
          <w:p>
            <w:pPr>
              <w:bidi w:val="0"/>
              <w:jc w:val="center"/>
              <w:rPr>
                <w:rFonts w:hint="eastAsia" w:ascii="宋体" w:hAnsi="宋体" w:eastAsia="宋体" w:cs="宋体"/>
                <w:color w:val="auto"/>
                <w:sz w:val="24"/>
                <w:szCs w:val="24"/>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比例</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61%</w:t>
            </w:r>
          </w:p>
        </w:tc>
        <w:tc>
          <w:tcPr>
            <w:tcW w:w="800" w:type="pct"/>
            <w:vAlign w:val="center"/>
          </w:tcPr>
          <w:p>
            <w:pPr>
              <w:bidi w:val="0"/>
              <w:jc w:val="center"/>
              <w:rPr>
                <w:rFonts w:hint="eastAsia" w:ascii="宋体" w:hAnsi="宋体" w:eastAsia="宋体" w:cs="宋体"/>
                <w:color w:val="auto"/>
                <w:sz w:val="24"/>
                <w:szCs w:val="24"/>
                <w:lang w:val="en-US" w:eastAsia="zh-CN"/>
              </w:rPr>
            </w:pPr>
          </w:p>
        </w:tc>
        <w:tc>
          <w:tcPr>
            <w:tcW w:w="914" w:type="pct"/>
            <w:vAlign w:val="center"/>
          </w:tcPr>
          <w:p>
            <w:pPr>
              <w:bidi w:val="0"/>
              <w:jc w:val="center"/>
              <w:rPr>
                <w:rFonts w:hint="eastAsia" w:ascii="宋体" w:hAnsi="宋体" w:eastAsia="宋体" w:cs="宋体"/>
                <w:color w:val="auto"/>
                <w:sz w:val="24"/>
                <w:szCs w:val="24"/>
              </w:rPr>
            </w:pPr>
          </w:p>
        </w:tc>
      </w:tr>
    </w:tbl>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黑体" w:hAnsi="黑体" w:eastAsia="黑体"/>
          <w:b/>
          <w:color w:val="auto"/>
          <w:sz w:val="24"/>
          <w:szCs w:val="24"/>
        </w:rPr>
      </w:pP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lang w:eastAsia="zh-CN"/>
        </w:rPr>
        <w:t>九</w:t>
      </w:r>
      <w:r>
        <w:rPr>
          <w:rFonts w:hint="eastAsia" w:ascii="黑体" w:hAnsi="黑体" w:eastAsia="黑体"/>
          <w:b/>
          <w:color w:val="auto"/>
          <w:sz w:val="24"/>
          <w:szCs w:val="24"/>
        </w:rPr>
        <w:t>、教学方式</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采用线上和线下结合的教学模式开展教学，即利用智慧职教云平台进行线上学习，同时利用假期到校进行线下教学、辅导。线下集中授课和辅导时数不得少于培养方案规定时数。</w:t>
      </w:r>
    </w:p>
    <w:p>
      <w:pPr>
        <w:keepNext w:val="0"/>
        <w:keepLines w:val="0"/>
        <w:pageBreakBefore w:val="0"/>
        <w:numPr>
          <w:ilvl w:val="0"/>
          <w:numId w:val="0"/>
        </w:numPr>
        <w:kinsoku/>
        <w:wordWrap/>
        <w:overflowPunct/>
        <w:topLinePunct w:val="0"/>
        <w:autoSpaceDE/>
        <w:bidi w:val="0"/>
        <w:adjustRightInd w:val="0"/>
        <w:snapToGrid/>
        <w:spacing w:line="360" w:lineRule="auto"/>
        <w:ind w:firstLine="482" w:firstLineChars="200"/>
        <w:textAlignment w:val="auto"/>
        <w:rPr>
          <w:rFonts w:hint="eastAsia" w:ascii="黑体" w:hAnsi="黑体" w:eastAsia="黑体"/>
          <w:b/>
          <w:color w:val="auto"/>
          <w:sz w:val="24"/>
          <w:szCs w:val="24"/>
        </w:rPr>
      </w:pPr>
      <w:r>
        <w:rPr>
          <w:rFonts w:hint="eastAsia" w:ascii="黑体" w:hAnsi="黑体" w:eastAsia="黑体"/>
          <w:b/>
          <w:color w:val="auto"/>
          <w:sz w:val="24"/>
          <w:szCs w:val="24"/>
          <w:lang w:eastAsia="zh-CN"/>
        </w:rPr>
        <w:t>十、</w:t>
      </w:r>
      <w:r>
        <w:rPr>
          <w:rFonts w:hint="eastAsia" w:ascii="黑体" w:hAnsi="黑体" w:eastAsia="黑体"/>
          <w:b/>
          <w:color w:val="auto"/>
          <w:sz w:val="24"/>
          <w:szCs w:val="24"/>
        </w:rPr>
        <w:t>实施保障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（一）师资队伍</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1、队伍结构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学生数与本专业专任教师数比例不高于 23:1，双师素质教师占专业教师比一般不低于 60%，专任教师队伍要考虑职称、年龄，形成合理的梯队结构。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2、专任教师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具有高校教师资格和本专业领域有关证书；有理想信念、有道德情操、有扎实学识、有仁爱之心；具有机械制造与自动化相关专业本科及以上学历，扎实的机械制造与自动化相关理论功底和实践能力；具有信息化教学能力，能够开展课程教学改革和科学研究；每 5 年累计不少于6个月的企业实践经历。 </w:t>
      </w:r>
    </w:p>
    <w:p>
      <w:pPr>
        <w:keepNext w:val="0"/>
        <w:keepLines w:val="0"/>
        <w:pageBreakBefore w:val="0"/>
        <w:numPr>
          <w:ilvl w:val="0"/>
          <w:numId w:val="0"/>
        </w:numPr>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 xml:space="preserve">3、专业带头人 </w:t>
      </w:r>
    </w:p>
    <w:p>
      <w:pPr>
        <w:keepNext w:val="0"/>
        <w:keepLines w:val="0"/>
        <w:pageBreakBefore w:val="0"/>
        <w:numPr>
          <w:ilvl w:val="0"/>
          <w:numId w:val="0"/>
        </w:numPr>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原则上应具有副高及以上职称，能够较好地把握国内外行业、专业发展，能广泛联系行业企业，了解行业企业对机械制造与自动化专业人才的需求实际，教学设计、专业研究能力强，组织开展教科研工作能力强，在本区域或本领域有一定的专业影响力。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4、兼职教师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主要从机械制造相关企业聘任，具备良好的思想政治素质、职业道德和工匠精神，具有扎实的机械制造与自动化专业知识和丰富的实际工作经验，具有机械制造工程师、技师及以上职称，能承担专业课程教学、实习实训指导和学生职业发展规划指导等教学任务。</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（二）教学设施</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主要包括能够满足正常的课程教学、实习实训所需的专业教室、实训室和实训基地。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1、专业教室基本条件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配备多媒体计算机、投影设备、白板、互联网接口或无线局域网覆 盖，安装应急照明装置，并保持良好状态，符合紧急疏散要求、标志明显、保持逃生通道畅通无阻。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2、校内实训室（基地）基本要求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（1）钳工实训室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配备投影设备、白板、台钻、砂轮机、普通测量工具,钳工工作台、虎钳和钳工工具每人 1 台（套）。可完成锉、钻、铰、修配、研磨、抛光等钳工操作实训。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（2）机械加工实训室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配备投影设备、白板、立钻、砂轮机和普通测量工具，普通车床每 2 人 1 台。可完成普车等操作实训。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（3）机械机构展示室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配备常见的平面机构、凸轮机构、螺旋传动、带传动、链传动、齿轮传动、蜗杆传动、齿轮系、轴承、联轴器、离合器和弹簧等机械原理和机械零件装置模型。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（4）机械 CAD/CAM 实训室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配备投影仪、多媒体教学系统、主流 CAD/CAM 软件，计算机的数量要保证上课学生 1 人 1 台。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（5）数控加工实训中心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配备数控车床、数控铣床、加工中心、电火花成型机床、计算机和仿真软件，每 2-5 人 1 台机床，1 人 1 台计算机。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（6）液压与气动技术实训室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配备液压气动实训装置，2～5 人 1 台套。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（7）机床 PLC 实训室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配备 PLC 和数控系统实验台，2～5 人 1 台套。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（8）机械拆装实训室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配备典型的普通车床，2～5 人 1 套，拆装用的工具 2 人 1 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（9）3D打印实训室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配置FDM和SLA等3D打印机，2～5 人 1 台套。</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 xml:space="preserve">3、校外实训基地基本要求 </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 xml:space="preserve">具有稳定的校外实训基地。选择能够提供开展机械制造实践的制造企业作为校外实训基地，机械设计与制造实训设施齐备，实训岗位、实训指导教师确定，实训管理及实施规章制度齐全。与专业建立紧密联系的校外实训基地达 5 个以上。 </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 xml:space="preserve">4、学生实习基地基本要求 </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 xml:space="preserve">具有稳定的校外实习基地。顶岗实习基地要求能涵盖当前机械制造与自动化的主流技术，可接纳一定规模的学生安排顶岗实习；能够配备相应数量的指导教师对学生实习进行指导和管理；实习基地有保证实习生日常工作、学习、生活的规章制度，有安全、保险保障。 </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 xml:space="preserve">5、支持信息化教学方面的基本要求 </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b/>
          <w:color w:val="auto"/>
          <w:sz w:val="24"/>
          <w:szCs w:val="24"/>
        </w:rPr>
      </w:pPr>
      <w:r>
        <w:rPr>
          <w:rFonts w:hint="eastAsia" w:ascii="宋体" w:hAnsi="宋体" w:eastAsia="宋体" w:cs="宋体"/>
          <w:color w:val="auto"/>
          <w:kern w:val="0"/>
          <w:sz w:val="24"/>
          <w:szCs w:val="24"/>
          <w:lang w:val="en-US" w:eastAsia="zh-CN"/>
        </w:rPr>
        <w:t>具有利用数字化教学资源库、文献资料、常见问题解答等的信息化条件。引导鼓励教师开发并利用信息化教学资源、教学平台，创新教学方法、提升教学效果。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（三）教学资源</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 xml:space="preserve">主要包括能够满足学生专业学习、教师专业教学研究和教学实施需要的教材、图书及数字资源等。 </w:t>
      </w:r>
    </w:p>
    <w:p>
      <w:pPr>
        <w:keepNext w:val="0"/>
        <w:keepLines w:val="0"/>
        <w:pageBreakBefore w:val="0"/>
        <w:numPr>
          <w:ilvl w:val="0"/>
          <w:numId w:val="3"/>
        </w:numPr>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教学方法</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bookmarkStart w:id="0" w:name="_Toc241725852"/>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在课程教学方面，针对高职教育特点，坚持行动导向任务驱动，采用项目教学法，根据岗位工作过程，确定教学项目，设计教学情境；在教学过程中，贯彻“教、学、做”一体化，实现“做中学”和“学中做”，以学生为主体，使学生充分体验项目的完成过程，增强职业素质和职业技能。</w:t>
      </w:r>
      <w:bookmarkEnd w:id="0"/>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lang w:eastAsia="zh-CN"/>
        </w:rPr>
        <w:t>积极运用</w:t>
      </w:r>
      <w:r>
        <w:rPr>
          <w:rFonts w:hint="eastAsia" w:ascii="宋体" w:hAnsi="宋体" w:eastAsia="宋体" w:cs="宋体"/>
          <w:color w:val="auto"/>
          <w:kern w:val="0"/>
          <w:sz w:val="24"/>
          <w:szCs w:val="24"/>
        </w:rPr>
        <w:t>信息技术</w:t>
      </w:r>
      <w:r>
        <w:rPr>
          <w:rFonts w:hint="eastAsia" w:ascii="宋体" w:hAnsi="宋体" w:eastAsia="宋体" w:cs="宋体"/>
          <w:color w:val="auto"/>
          <w:kern w:val="0"/>
          <w:sz w:val="24"/>
          <w:szCs w:val="24"/>
          <w:lang w:eastAsia="zh-CN"/>
        </w:rPr>
        <w:t>开展</w:t>
      </w:r>
      <w:r>
        <w:rPr>
          <w:rFonts w:hint="eastAsia" w:ascii="宋体" w:hAnsi="宋体" w:eastAsia="宋体" w:cs="宋体"/>
          <w:color w:val="auto"/>
          <w:kern w:val="0"/>
          <w:sz w:val="24"/>
          <w:szCs w:val="24"/>
        </w:rPr>
        <w:t>教育教学，改进教学方式。</w:t>
      </w:r>
    </w:p>
    <w:p>
      <w:pPr>
        <w:keepNext w:val="0"/>
        <w:keepLines w:val="0"/>
        <w:pageBreakBefore w:val="0"/>
        <w:numPr>
          <w:ilvl w:val="0"/>
          <w:numId w:val="4"/>
        </w:numPr>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教学评价</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lang w:eastAsia="zh-CN"/>
        </w:rPr>
        <w:tab/>
      </w: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课程考核综合说明</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（1）考核以形成性考核为主，可根据不同课程的特点和要求采取笔试、口试、实操、作品、成果汇报等多种方式进行考核；</w:t>
      </w:r>
    </w:p>
    <w:p>
      <w:pPr>
        <w:keepNext w:val="0"/>
        <w:keepLines w:val="0"/>
        <w:pageBreakBefore w:val="0"/>
        <w:widowControl/>
        <w:kinsoku/>
        <w:wordWrap/>
        <w:overflowPunct/>
        <w:topLinePunct w:val="0"/>
        <w:autoSpaceDE/>
        <w:autoSpaceDN w:val="0"/>
        <w:bidi w:val="0"/>
        <w:snapToGrid/>
        <w:spacing w:line="360" w:lineRule="auto"/>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（2）考核要以能力考核为核心，综合考核专业知识、专业技能、方法能力、职业素质、团队合作等方面；</w:t>
      </w:r>
    </w:p>
    <w:p>
      <w:pPr>
        <w:keepNext w:val="0"/>
        <w:keepLines w:val="0"/>
        <w:pageBreakBefore w:val="0"/>
        <w:widowControl/>
        <w:kinsoku/>
        <w:wordWrap/>
        <w:overflowPunct/>
        <w:topLinePunct w:val="0"/>
        <w:autoSpaceDE/>
        <w:autoSpaceDN w:val="0"/>
        <w:bidi w:val="0"/>
        <w:snapToGrid/>
        <w:spacing w:line="360" w:lineRule="auto"/>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（3）各课程应该根据课程的特点、要求，对采取不同方式、对各个方面的考核结果，通过一定的加权系数评定课程最终成绩。</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、课程质量评价要点</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（1）本专业课程的基本质量要求</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主业课程以培养学生的职业技能为核心，课程的内容设置及组织实施应突出学生能力的形成。</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（2)本专业课程的质量评价方法</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b/>
          <w:color w:val="auto"/>
          <w:sz w:val="24"/>
          <w:szCs w:val="24"/>
          <w:lang w:eastAsia="zh-CN"/>
        </w:rPr>
      </w:pPr>
      <w:r>
        <w:rPr>
          <w:rFonts w:hint="eastAsia" w:ascii="宋体" w:hAnsi="宋体" w:eastAsia="宋体" w:cs="宋体"/>
          <w:color w:val="auto"/>
          <w:kern w:val="0"/>
          <w:sz w:val="24"/>
          <w:szCs w:val="24"/>
        </w:rPr>
        <w:t>质量评价方法按照学校的统一要求，由学生评价、同行评价、校外专家评价相结合。</w:t>
      </w:r>
    </w:p>
    <w:p>
      <w:pPr>
        <w:keepNext w:val="0"/>
        <w:keepLines w:val="0"/>
        <w:pageBreakBefore w:val="0"/>
        <w:numPr>
          <w:ilvl w:val="0"/>
          <w:numId w:val="4"/>
        </w:numPr>
        <w:kinsoku/>
        <w:wordWrap/>
        <w:overflowPunct/>
        <w:topLinePunct w:val="0"/>
        <w:autoSpaceDE/>
        <w:bidi w:val="0"/>
        <w:adjustRightInd w:val="0"/>
        <w:snapToGrid/>
        <w:spacing w:line="360" w:lineRule="auto"/>
        <w:ind w:left="0" w:leftChars="0"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质量管理</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学校和二级院系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学校、二级院系</w:t>
      </w:r>
      <w:r>
        <w:rPr>
          <w:rFonts w:hint="eastAsia" w:ascii="宋体" w:hAnsi="宋体" w:eastAsia="宋体" w:cs="宋体"/>
          <w:color w:val="auto"/>
          <w:kern w:val="0"/>
          <w:sz w:val="24"/>
          <w:szCs w:val="24"/>
          <w:lang w:eastAsia="zh-CN"/>
        </w:rPr>
        <w:t>进一步</w:t>
      </w:r>
      <w:r>
        <w:rPr>
          <w:rFonts w:hint="eastAsia" w:ascii="宋体" w:hAnsi="宋体" w:eastAsia="宋体" w:cs="宋体"/>
          <w:color w:val="auto"/>
          <w:kern w:val="0"/>
          <w:sz w:val="24"/>
          <w:szCs w:val="24"/>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w:t>
      </w:r>
      <w:r>
        <w:rPr>
          <w:rFonts w:hint="eastAsia" w:ascii="宋体" w:hAnsi="宋体" w:eastAsia="宋体" w:cs="宋体"/>
          <w:color w:val="auto"/>
          <w:kern w:val="0"/>
          <w:sz w:val="24"/>
          <w:szCs w:val="24"/>
        </w:rPr>
        <w:t>学校建立毕业生跟踪反馈机制及社会评价机制，并对生源情况、在校生学业水平、毕业生就业情况等进行分析，定期评价人才培养质量和培养目标达成情况。</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b/>
          <w:color w:val="auto"/>
          <w:sz w:val="24"/>
          <w:szCs w:val="24"/>
        </w:rPr>
      </w:pPr>
      <w:r>
        <w:rPr>
          <w:rFonts w:hint="eastAsia" w:ascii="宋体" w:hAnsi="宋体" w:eastAsia="宋体" w:cs="宋体"/>
          <w:color w:val="auto"/>
          <w:kern w:val="0"/>
          <w:sz w:val="24"/>
          <w:szCs w:val="24"/>
          <w:lang w:val="en-US" w:eastAsia="zh-CN"/>
        </w:rPr>
        <w:t>4、</w:t>
      </w:r>
      <w:r>
        <w:rPr>
          <w:rFonts w:hint="eastAsia" w:ascii="宋体" w:hAnsi="宋体" w:eastAsia="宋体" w:cs="宋体"/>
          <w:color w:val="auto"/>
          <w:kern w:val="0"/>
          <w:sz w:val="24"/>
          <w:szCs w:val="24"/>
        </w:rPr>
        <w:t>专业教研</w:t>
      </w:r>
      <w:r>
        <w:rPr>
          <w:rFonts w:hint="eastAsia" w:ascii="宋体" w:hAnsi="宋体" w:eastAsia="宋体" w:cs="宋体"/>
          <w:color w:val="auto"/>
          <w:kern w:val="0"/>
          <w:sz w:val="24"/>
          <w:szCs w:val="24"/>
          <w:lang w:eastAsia="zh-CN"/>
        </w:rPr>
        <w:t>室</w:t>
      </w:r>
      <w:r>
        <w:rPr>
          <w:rFonts w:hint="eastAsia" w:ascii="宋体" w:hAnsi="宋体" w:eastAsia="宋体" w:cs="宋体"/>
          <w:color w:val="auto"/>
          <w:kern w:val="0"/>
          <w:sz w:val="24"/>
          <w:szCs w:val="24"/>
        </w:rPr>
        <w:t>应充分利用评价分析结果有效改进专业教学，持续提高人才培养质量。</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十</w:t>
      </w:r>
      <w:r>
        <w:rPr>
          <w:rFonts w:hint="eastAsia" w:ascii="宋体" w:hAnsi="宋体" w:eastAsia="宋体" w:cs="宋体"/>
          <w:b/>
          <w:color w:val="auto"/>
          <w:sz w:val="24"/>
          <w:szCs w:val="24"/>
          <w:lang w:eastAsia="zh-CN"/>
        </w:rPr>
        <w:t>一</w:t>
      </w:r>
      <w:r>
        <w:rPr>
          <w:rFonts w:hint="eastAsia" w:ascii="宋体" w:hAnsi="宋体" w:eastAsia="宋体" w:cs="宋体"/>
          <w:b/>
          <w:color w:val="auto"/>
          <w:sz w:val="24"/>
          <w:szCs w:val="24"/>
        </w:rPr>
        <w:t>、毕业要求</w:t>
      </w:r>
    </w:p>
    <w:p>
      <w:pPr>
        <w:keepNext w:val="0"/>
        <w:keepLines w:val="0"/>
        <w:pageBreakBefore w:val="0"/>
        <w:kinsoku/>
        <w:wordWrap/>
        <w:overflowPunct/>
        <w:topLinePunct w:val="0"/>
        <w:autoSpaceDE/>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按培养方案修完所有必修和选修课程并取得</w:t>
      </w:r>
      <w:r>
        <w:rPr>
          <w:rFonts w:hint="eastAsia" w:ascii="宋体" w:hAnsi="宋体" w:eastAsia="宋体" w:cs="宋体"/>
          <w:color w:val="auto"/>
          <w:sz w:val="24"/>
          <w:szCs w:val="24"/>
          <w:lang w:val="en-US" w:eastAsia="zh-CN"/>
        </w:rPr>
        <w:t>130.5</w:t>
      </w:r>
      <w:r>
        <w:rPr>
          <w:rFonts w:hint="eastAsia" w:ascii="宋体" w:hAnsi="宋体" w:eastAsia="宋体" w:cs="宋体"/>
          <w:color w:val="auto"/>
          <w:sz w:val="24"/>
          <w:szCs w:val="24"/>
        </w:rPr>
        <w:t>学分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学生取得的行业企业认可度高的有关职业资格证书、技能等级证书以及已掌握的有关技术技能，获得相关专业竞赛等级奖，可按一定规则折算为学历教育相应学分。</w:t>
      </w:r>
    </w:p>
    <w:p>
      <w:pPr>
        <w:spacing w:line="560" w:lineRule="exact"/>
        <w:ind w:firstLine="480" w:firstLineChars="200"/>
        <w:rPr>
          <w:rFonts w:hint="eastAsia" w:ascii="宋体" w:hAnsi="宋体" w:eastAsia="宋体" w:cs="宋体"/>
          <w:color w:val="auto"/>
          <w:sz w:val="24"/>
          <w:szCs w:val="24"/>
        </w:rPr>
      </w:pPr>
    </w:p>
    <w:p>
      <w:pPr>
        <w:spacing w:line="560" w:lineRule="exact"/>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rPr>
        <w:t>方案制（修）定人：</w:t>
      </w:r>
      <w:r>
        <w:rPr>
          <w:rFonts w:hint="eastAsia" w:ascii="宋体" w:hAnsi="宋体" w:eastAsia="宋体" w:cs="宋体"/>
          <w:color w:val="auto"/>
          <w:sz w:val="24"/>
          <w:szCs w:val="24"/>
          <w:lang w:eastAsia="zh-CN"/>
        </w:rPr>
        <w:t>陈静</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程启森、张俊、陈丽莉</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王振东</w:t>
      </w:r>
    </w:p>
    <w:p>
      <w:pPr>
        <w:spacing w:line="560" w:lineRule="exact"/>
        <w:rPr>
          <w:rFonts w:hint="eastAsia" w:ascii="宋体" w:hAnsi="宋体" w:cs="宋体" w:eastAsiaTheme="minorEastAsia"/>
          <w:b w:val="0"/>
          <w:bCs/>
          <w:color w:val="auto"/>
          <w:sz w:val="24"/>
          <w:szCs w:val="24"/>
          <w:lang w:val="en-US" w:eastAsia="zh-CN"/>
        </w:rPr>
      </w:pPr>
      <w:r>
        <w:rPr>
          <w:rFonts w:hint="eastAsia" w:asciiTheme="minorEastAsia" w:hAnsiTheme="minorEastAsia"/>
          <w:b w:val="0"/>
          <w:bCs/>
          <w:color w:val="auto"/>
          <w:sz w:val="24"/>
          <w:szCs w:val="24"/>
          <w:shd w:val="clear" w:color="auto" w:fill="FFFFFF"/>
        </w:rPr>
        <w:t>本方案适用于</w:t>
      </w:r>
      <w:r>
        <w:rPr>
          <w:rFonts w:hint="eastAsia" w:asciiTheme="minorEastAsia" w:hAnsiTheme="minorEastAsia"/>
          <w:b w:val="0"/>
          <w:bCs/>
          <w:color w:val="auto"/>
          <w:sz w:val="24"/>
          <w:szCs w:val="24"/>
          <w:shd w:val="clear" w:color="auto" w:fill="FFFFFF"/>
          <w:lang w:eastAsia="zh-CN"/>
        </w:rPr>
        <w:t>机械制造与自动化</w:t>
      </w:r>
      <w:r>
        <w:rPr>
          <w:rFonts w:hint="eastAsia" w:asciiTheme="minorEastAsia" w:hAnsiTheme="minorEastAsia"/>
          <w:b w:val="0"/>
          <w:bCs/>
          <w:color w:val="auto"/>
          <w:sz w:val="24"/>
          <w:szCs w:val="24"/>
          <w:shd w:val="clear" w:color="auto" w:fill="FFFFFF"/>
        </w:rPr>
        <w:t>扩招专业退役军人生源类型</w:t>
      </w:r>
      <w:r>
        <w:rPr>
          <w:rFonts w:hint="eastAsia" w:asciiTheme="minorEastAsia" w:hAnsiTheme="minorEastAsia"/>
          <w:b w:val="0"/>
          <w:bCs/>
          <w:color w:val="auto"/>
          <w:sz w:val="24"/>
          <w:szCs w:val="24"/>
          <w:shd w:val="clear" w:color="auto" w:fill="FFFFFF"/>
          <w:lang w:val="en-US" w:eastAsia="zh-CN"/>
        </w:rPr>
        <w:t>。</w:t>
      </w:r>
    </w:p>
    <w:p>
      <w:pPr>
        <w:spacing w:line="560" w:lineRule="exact"/>
        <w:rPr>
          <w:rFonts w:hint="eastAsia" w:ascii="宋体" w:hAnsi="宋体" w:eastAsia="宋体" w:cs="宋体"/>
          <w:color w:val="auto"/>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E599A8"/>
    <w:multiLevelType w:val="singleLevel"/>
    <w:tmpl w:val="8BE599A8"/>
    <w:lvl w:ilvl="0" w:tentative="0">
      <w:start w:val="4"/>
      <w:numFmt w:val="chineseCounting"/>
      <w:suff w:val="nothing"/>
      <w:lvlText w:val="（%1）"/>
      <w:lvlJc w:val="left"/>
      <w:rPr>
        <w:rFonts w:hint="eastAsia"/>
      </w:rPr>
    </w:lvl>
  </w:abstractNum>
  <w:abstractNum w:abstractNumId="1">
    <w:nsid w:val="96A36CB3"/>
    <w:multiLevelType w:val="singleLevel"/>
    <w:tmpl w:val="96A36CB3"/>
    <w:lvl w:ilvl="0" w:tentative="0">
      <w:start w:val="5"/>
      <w:numFmt w:val="chineseCounting"/>
      <w:suff w:val="nothing"/>
      <w:lvlText w:val="（%1）"/>
      <w:lvlJc w:val="left"/>
      <w:rPr>
        <w:rFonts w:hint="eastAsia"/>
      </w:rPr>
    </w:lvl>
  </w:abstractNum>
  <w:abstractNum w:abstractNumId="2">
    <w:nsid w:val="E3517928"/>
    <w:multiLevelType w:val="singleLevel"/>
    <w:tmpl w:val="E3517928"/>
    <w:lvl w:ilvl="0" w:tentative="0">
      <w:start w:val="5"/>
      <w:numFmt w:val="decimal"/>
      <w:suff w:val="nothing"/>
      <w:lvlText w:val="（%1）"/>
      <w:lvlJc w:val="left"/>
    </w:lvl>
  </w:abstractNum>
  <w:abstractNum w:abstractNumId="3">
    <w:nsid w:val="696F4669"/>
    <w:multiLevelType w:val="singleLevel"/>
    <w:tmpl w:val="696F4669"/>
    <w:lvl w:ilvl="0" w:tentative="0">
      <w:start w:val="7"/>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61F4"/>
    <w:rsid w:val="00012D70"/>
    <w:rsid w:val="000569A9"/>
    <w:rsid w:val="00065790"/>
    <w:rsid w:val="0008209F"/>
    <w:rsid w:val="000A4BFD"/>
    <w:rsid w:val="000E6805"/>
    <w:rsid w:val="000F42EF"/>
    <w:rsid w:val="0013056F"/>
    <w:rsid w:val="0014384D"/>
    <w:rsid w:val="00194154"/>
    <w:rsid w:val="001A03B4"/>
    <w:rsid w:val="001C174E"/>
    <w:rsid w:val="001C18E3"/>
    <w:rsid w:val="002939EC"/>
    <w:rsid w:val="00300D8E"/>
    <w:rsid w:val="00326D64"/>
    <w:rsid w:val="00383CDE"/>
    <w:rsid w:val="003A50C2"/>
    <w:rsid w:val="003B49A0"/>
    <w:rsid w:val="003B5875"/>
    <w:rsid w:val="003D5D5B"/>
    <w:rsid w:val="004150D1"/>
    <w:rsid w:val="004840E8"/>
    <w:rsid w:val="004B33E8"/>
    <w:rsid w:val="004D075D"/>
    <w:rsid w:val="00513DF9"/>
    <w:rsid w:val="00541DF1"/>
    <w:rsid w:val="00577D3E"/>
    <w:rsid w:val="00584694"/>
    <w:rsid w:val="005F2E2A"/>
    <w:rsid w:val="00627A58"/>
    <w:rsid w:val="006A278D"/>
    <w:rsid w:val="006C3DB3"/>
    <w:rsid w:val="00741C64"/>
    <w:rsid w:val="00764C54"/>
    <w:rsid w:val="007C21E2"/>
    <w:rsid w:val="00885629"/>
    <w:rsid w:val="0089016E"/>
    <w:rsid w:val="008B0F3D"/>
    <w:rsid w:val="008B11AB"/>
    <w:rsid w:val="008B5D5B"/>
    <w:rsid w:val="008C31DF"/>
    <w:rsid w:val="008E715C"/>
    <w:rsid w:val="00962404"/>
    <w:rsid w:val="009761F4"/>
    <w:rsid w:val="009D74CB"/>
    <w:rsid w:val="009E3D52"/>
    <w:rsid w:val="00A006A4"/>
    <w:rsid w:val="00A53F85"/>
    <w:rsid w:val="00AB18C9"/>
    <w:rsid w:val="00AC3EDE"/>
    <w:rsid w:val="00AC58CA"/>
    <w:rsid w:val="00AF2499"/>
    <w:rsid w:val="00B35236"/>
    <w:rsid w:val="00B35BD7"/>
    <w:rsid w:val="00B61AAC"/>
    <w:rsid w:val="00BA20F0"/>
    <w:rsid w:val="00BD6148"/>
    <w:rsid w:val="00C20836"/>
    <w:rsid w:val="00C338F1"/>
    <w:rsid w:val="00CC29EB"/>
    <w:rsid w:val="00CF53EA"/>
    <w:rsid w:val="00CF7772"/>
    <w:rsid w:val="00D21279"/>
    <w:rsid w:val="00E953B0"/>
    <w:rsid w:val="00EB3822"/>
    <w:rsid w:val="00EE349A"/>
    <w:rsid w:val="00EE3610"/>
    <w:rsid w:val="00FB5776"/>
    <w:rsid w:val="00FB5955"/>
    <w:rsid w:val="03107BCA"/>
    <w:rsid w:val="03DC150F"/>
    <w:rsid w:val="040446D7"/>
    <w:rsid w:val="042726E3"/>
    <w:rsid w:val="050A0CA7"/>
    <w:rsid w:val="05702F45"/>
    <w:rsid w:val="06CB4151"/>
    <w:rsid w:val="07E06E1E"/>
    <w:rsid w:val="08DF02E9"/>
    <w:rsid w:val="09F60F34"/>
    <w:rsid w:val="0A0710C9"/>
    <w:rsid w:val="0A2055BF"/>
    <w:rsid w:val="0AE3042B"/>
    <w:rsid w:val="0C33533E"/>
    <w:rsid w:val="0D636FEC"/>
    <w:rsid w:val="0DD6618D"/>
    <w:rsid w:val="10342D5E"/>
    <w:rsid w:val="126A70FE"/>
    <w:rsid w:val="13EF12F8"/>
    <w:rsid w:val="14681CAE"/>
    <w:rsid w:val="18440FE6"/>
    <w:rsid w:val="189E2D18"/>
    <w:rsid w:val="18EB528C"/>
    <w:rsid w:val="1A1265AE"/>
    <w:rsid w:val="1B535A9F"/>
    <w:rsid w:val="222C4B8C"/>
    <w:rsid w:val="24290E23"/>
    <w:rsid w:val="245646AA"/>
    <w:rsid w:val="24EC714B"/>
    <w:rsid w:val="26E25562"/>
    <w:rsid w:val="271B35CA"/>
    <w:rsid w:val="2850570B"/>
    <w:rsid w:val="28532027"/>
    <w:rsid w:val="2AD81423"/>
    <w:rsid w:val="2AE65C21"/>
    <w:rsid w:val="30A5062A"/>
    <w:rsid w:val="31A96369"/>
    <w:rsid w:val="370607F4"/>
    <w:rsid w:val="37871B08"/>
    <w:rsid w:val="38BF1E39"/>
    <w:rsid w:val="38C25E7F"/>
    <w:rsid w:val="38CC057D"/>
    <w:rsid w:val="3A9B1F95"/>
    <w:rsid w:val="3B287103"/>
    <w:rsid w:val="3B2E3151"/>
    <w:rsid w:val="3C960684"/>
    <w:rsid w:val="3D8F0B22"/>
    <w:rsid w:val="3DE02260"/>
    <w:rsid w:val="3E146421"/>
    <w:rsid w:val="4045542F"/>
    <w:rsid w:val="41484BF1"/>
    <w:rsid w:val="428B2D68"/>
    <w:rsid w:val="44A5541C"/>
    <w:rsid w:val="465E1D0B"/>
    <w:rsid w:val="47EA0420"/>
    <w:rsid w:val="48183CBA"/>
    <w:rsid w:val="483D2E92"/>
    <w:rsid w:val="4A652213"/>
    <w:rsid w:val="4B8126AC"/>
    <w:rsid w:val="4D5842E6"/>
    <w:rsid w:val="4EC970DD"/>
    <w:rsid w:val="509216E8"/>
    <w:rsid w:val="50AE291D"/>
    <w:rsid w:val="50AF04DE"/>
    <w:rsid w:val="51D94E68"/>
    <w:rsid w:val="52C90F4F"/>
    <w:rsid w:val="53FC02B6"/>
    <w:rsid w:val="54887C60"/>
    <w:rsid w:val="54F871B2"/>
    <w:rsid w:val="577F5F98"/>
    <w:rsid w:val="583607FB"/>
    <w:rsid w:val="5B0950E2"/>
    <w:rsid w:val="5C695966"/>
    <w:rsid w:val="5E7833CF"/>
    <w:rsid w:val="5F773370"/>
    <w:rsid w:val="60BD7796"/>
    <w:rsid w:val="638D21AA"/>
    <w:rsid w:val="64C04363"/>
    <w:rsid w:val="65881277"/>
    <w:rsid w:val="67E51504"/>
    <w:rsid w:val="683F0D4B"/>
    <w:rsid w:val="69903C9F"/>
    <w:rsid w:val="6B384D60"/>
    <w:rsid w:val="6B8314AC"/>
    <w:rsid w:val="6CEB7002"/>
    <w:rsid w:val="6CF60482"/>
    <w:rsid w:val="6D257E46"/>
    <w:rsid w:val="6D681565"/>
    <w:rsid w:val="6E623E1C"/>
    <w:rsid w:val="6E66261A"/>
    <w:rsid w:val="6F3E63EF"/>
    <w:rsid w:val="6FCF561C"/>
    <w:rsid w:val="6FEA02A6"/>
    <w:rsid w:val="70093634"/>
    <w:rsid w:val="70E31054"/>
    <w:rsid w:val="719707A2"/>
    <w:rsid w:val="762910F4"/>
    <w:rsid w:val="76384118"/>
    <w:rsid w:val="785230D9"/>
    <w:rsid w:val="78611CF0"/>
    <w:rsid w:val="7D6519DA"/>
    <w:rsid w:val="7D6F3A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8"/>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unhideWhenUsed/>
    <w:qFormat/>
    <w:uiPriority w:val="99"/>
    <w:pPr>
      <w:jc w:val="left"/>
    </w:pPr>
  </w:style>
  <w:style w:type="paragraph" w:styleId="5">
    <w:name w:val="Plain Text"/>
    <w:basedOn w:val="1"/>
    <w:qFormat/>
    <w:uiPriority w:val="0"/>
    <w:rPr>
      <w:rFonts w:hint="eastAsia" w:ascii="宋体" w:hAnsi="Courier New"/>
      <w:szCs w:val="21"/>
    </w:rPr>
  </w:style>
  <w:style w:type="paragraph" w:styleId="6">
    <w:name w:val="Balloon Text"/>
    <w:basedOn w:val="1"/>
    <w:link w:val="23"/>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itle"/>
    <w:basedOn w:val="1"/>
    <w:next w:val="1"/>
    <w:link w:val="26"/>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2"/>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qFormat/>
    <w:uiPriority w:val="0"/>
    <w:rPr>
      <w:b/>
    </w:rPr>
  </w:style>
  <w:style w:type="character" w:styleId="15">
    <w:name w:val="Hyperlink"/>
    <w:basedOn w:val="13"/>
    <w:semiHidden/>
    <w:unhideWhenUsed/>
    <w:qFormat/>
    <w:uiPriority w:val="99"/>
    <w:rPr>
      <w:color w:val="0000FF"/>
      <w:u w:val="single"/>
    </w:rPr>
  </w:style>
  <w:style w:type="character" w:styleId="16">
    <w:name w:val="annotation reference"/>
    <w:basedOn w:val="13"/>
    <w:semiHidden/>
    <w:unhideWhenUsed/>
    <w:qFormat/>
    <w:uiPriority w:val="0"/>
    <w:rPr>
      <w:sz w:val="21"/>
      <w:szCs w:val="21"/>
    </w:rPr>
  </w:style>
  <w:style w:type="character" w:customStyle="1" w:styleId="17">
    <w:name w:val="标题 1 Char"/>
    <w:basedOn w:val="13"/>
    <w:link w:val="2"/>
    <w:qFormat/>
    <w:uiPriority w:val="9"/>
    <w:rPr>
      <w:b/>
      <w:bCs/>
      <w:kern w:val="44"/>
      <w:sz w:val="44"/>
      <w:szCs w:val="44"/>
    </w:rPr>
  </w:style>
  <w:style w:type="character" w:customStyle="1" w:styleId="18">
    <w:name w:val="标题 3 Char"/>
    <w:basedOn w:val="13"/>
    <w:link w:val="3"/>
    <w:qFormat/>
    <w:uiPriority w:val="0"/>
    <w:rPr>
      <w:rFonts w:ascii="Times New Roman" w:hAnsi="Times New Roman" w:eastAsia="宋体" w:cs="Times New Roman"/>
      <w:sz w:val="24"/>
      <w:szCs w:val="20"/>
    </w:rPr>
  </w:style>
  <w:style w:type="character" w:customStyle="1" w:styleId="19">
    <w:name w:val="页眉 Char"/>
    <w:basedOn w:val="13"/>
    <w:link w:val="8"/>
    <w:qFormat/>
    <w:uiPriority w:val="99"/>
    <w:rPr>
      <w:sz w:val="18"/>
      <w:szCs w:val="18"/>
    </w:rPr>
  </w:style>
  <w:style w:type="character" w:customStyle="1" w:styleId="20">
    <w:name w:val="页脚 Char"/>
    <w:basedOn w:val="13"/>
    <w:link w:val="7"/>
    <w:qFormat/>
    <w:uiPriority w:val="99"/>
    <w:rPr>
      <w:sz w:val="18"/>
      <w:szCs w:val="18"/>
    </w:rPr>
  </w:style>
  <w:style w:type="character" w:customStyle="1" w:styleId="21">
    <w:name w:val="批注文字 Char"/>
    <w:basedOn w:val="13"/>
    <w:link w:val="4"/>
    <w:qFormat/>
    <w:uiPriority w:val="99"/>
  </w:style>
  <w:style w:type="character" w:customStyle="1" w:styleId="22">
    <w:name w:val="批注主题 Char"/>
    <w:basedOn w:val="21"/>
    <w:link w:val="10"/>
    <w:semiHidden/>
    <w:qFormat/>
    <w:uiPriority w:val="99"/>
    <w:rPr>
      <w:b/>
      <w:bCs/>
    </w:rPr>
  </w:style>
  <w:style w:type="character" w:customStyle="1" w:styleId="23">
    <w:name w:val="批注框文本 Char"/>
    <w:basedOn w:val="13"/>
    <w:link w:val="6"/>
    <w:semiHidden/>
    <w:qFormat/>
    <w:uiPriority w:val="99"/>
    <w:rPr>
      <w:sz w:val="18"/>
      <w:szCs w:val="18"/>
    </w:rPr>
  </w:style>
  <w:style w:type="paragraph" w:customStyle="1" w:styleId="24">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5">
    <w:name w:val="apple-converted-space"/>
    <w:basedOn w:val="13"/>
    <w:qFormat/>
    <w:uiPriority w:val="0"/>
  </w:style>
  <w:style w:type="character" w:customStyle="1" w:styleId="26">
    <w:name w:val="标题 Char"/>
    <w:basedOn w:val="13"/>
    <w:link w:val="9"/>
    <w:qFormat/>
    <w:uiPriority w:val="0"/>
    <w:rPr>
      <w:rFonts w:ascii="Cambria" w:hAnsi="Cambria" w:eastAsia="宋体" w:cs="Times New Roman"/>
      <w:b/>
      <w:bCs/>
      <w:sz w:val="44"/>
      <w:szCs w:val="32"/>
    </w:rPr>
  </w:style>
  <w:style w:type="paragraph" w:styleId="2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991</Words>
  <Characters>5655</Characters>
  <Lines>47</Lines>
  <Paragraphs>13</Paragraphs>
  <TotalTime>0</TotalTime>
  <ScaleCrop>false</ScaleCrop>
  <LinksUpToDate>false</LinksUpToDate>
  <CharactersWithSpaces>6633</CharactersWithSpaces>
  <Application>WPS Office_11.1.0.9141_F1E327BC-269C-435d-A152-05C5408002CA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2018-04-28T00:16:00Z</dcterms:created>
  <dc:creator>hwl</dc:creator>
  <cp:lastModifiedBy>ID=chengqs</cp:lastModifiedBy>
  <dcterms:modified xsi:type="dcterms:W3CDTF">2020-02-14T03:41:02Z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