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Theme="majorEastAsia" w:hAnsiTheme="majorEastAsia" w:eastAsiaTheme="majorEastAsia"/>
          <w:b/>
          <w:bCs/>
          <w:sz w:val="32"/>
          <w:szCs w:val="32"/>
        </w:rPr>
      </w:pPr>
      <w:r>
        <w:rPr>
          <w:rFonts w:hint="eastAsia" w:asciiTheme="majorEastAsia" w:hAnsiTheme="majorEastAsia" w:eastAsiaTheme="majorEastAsia"/>
          <w:b/>
          <w:bCs/>
          <w:sz w:val="32"/>
          <w:szCs w:val="32"/>
        </w:rPr>
        <w:t>安徽工业职业技术学院</w:t>
      </w:r>
    </w:p>
    <w:p>
      <w:pPr>
        <w:adjustRightInd w:val="0"/>
        <w:snapToGrid w:val="0"/>
        <w:jc w:val="center"/>
        <w:rPr>
          <w:rFonts w:asciiTheme="majorEastAsia" w:hAnsiTheme="majorEastAsia" w:eastAsiaTheme="majorEastAsia"/>
          <w:sz w:val="32"/>
          <w:szCs w:val="32"/>
        </w:rPr>
      </w:pPr>
      <w:r>
        <w:rPr>
          <w:rFonts w:hint="eastAsia" w:ascii="宋体" w:hAnsi="宋体"/>
          <w:b/>
          <w:sz w:val="32"/>
          <w:szCs w:val="32"/>
        </w:rPr>
        <w:t>地下与隧道工程技术专业人才培养方案</w:t>
      </w:r>
      <w:r>
        <w:rPr>
          <w:rFonts w:hint="eastAsia" w:asciiTheme="majorEastAsia" w:hAnsiTheme="majorEastAsia" w:eastAsiaTheme="majorEastAsia"/>
          <w:sz w:val="32"/>
          <w:szCs w:val="32"/>
        </w:rPr>
        <w:t>（2021版）</w:t>
      </w:r>
    </w:p>
    <w:p>
      <w:pPr>
        <w:spacing w:line="560" w:lineRule="exact"/>
        <w:ind w:firstLine="482" w:firstLineChars="200"/>
        <w:rPr>
          <w:rFonts w:ascii="黑体" w:hAnsi="黑体" w:eastAsia="黑体"/>
          <w:b/>
          <w:sz w:val="24"/>
          <w:szCs w:val="24"/>
        </w:rPr>
      </w:pPr>
      <w:r>
        <w:rPr>
          <w:rFonts w:ascii="黑体" w:hAnsi="黑体" w:eastAsia="黑体"/>
          <w:b/>
          <w:sz w:val="24"/>
          <w:szCs w:val="24"/>
        </w:rPr>
        <w:t>一、专业名称及代码</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专业名称：</w:t>
      </w:r>
      <w:r>
        <w:rPr>
          <w:rFonts w:hint="eastAsia" w:ascii="宋体" w:hAnsi="宋体"/>
          <w:sz w:val="24"/>
          <w:szCs w:val="24"/>
        </w:rPr>
        <w:t>地下与隧道工程技术</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专业代码：</w:t>
      </w:r>
      <w:r>
        <w:rPr>
          <w:rFonts w:hint="eastAsia" w:ascii="Times New Roman" w:hAnsi="Times New Roman" w:eastAsia="仿宋_GB2312" w:cs="仿宋_GB2312"/>
          <w:b w:val="0"/>
          <w:i w:val="0"/>
          <w:color w:val="auto"/>
          <w:kern w:val="0"/>
          <w:sz w:val="21"/>
          <w:szCs w:val="21"/>
          <w:u w:val="none"/>
          <w:lang w:val="en-US" w:eastAsia="zh-CN" w:bidi="ar"/>
        </w:rPr>
        <w:t>440305</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二</w:t>
      </w:r>
      <w:r>
        <w:rPr>
          <w:rFonts w:ascii="黑体" w:hAnsi="黑体" w:eastAsia="黑体"/>
          <w:b/>
          <w:sz w:val="24"/>
          <w:szCs w:val="24"/>
        </w:rPr>
        <w:t>、</w:t>
      </w:r>
      <w:r>
        <w:rPr>
          <w:rFonts w:hint="eastAsia" w:ascii="黑体" w:hAnsi="黑体" w:eastAsia="黑体"/>
          <w:b/>
          <w:sz w:val="24"/>
          <w:szCs w:val="24"/>
        </w:rPr>
        <w:t>入学要求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高中阶段教育毕业生或具有同等学力者</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三</w:t>
      </w:r>
      <w:r>
        <w:rPr>
          <w:rFonts w:ascii="黑体" w:hAnsi="黑体" w:eastAsia="黑体"/>
          <w:b/>
          <w:sz w:val="24"/>
          <w:szCs w:val="24"/>
        </w:rPr>
        <w:t>、修业年限</w:t>
      </w:r>
      <w:r>
        <w:rPr>
          <w:rFonts w:hint="eastAsia" w:ascii="黑体" w:hAnsi="黑体" w:eastAsia="黑体"/>
          <w:b/>
          <w:sz w:val="24"/>
          <w:szCs w:val="24"/>
        </w:rPr>
        <w:t>与学历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本专业学制3 年，可实施弹性学习，最长不超过6年。专科</w:t>
      </w:r>
    </w:p>
    <w:p>
      <w:pPr>
        <w:spacing w:line="560" w:lineRule="exact"/>
        <w:ind w:firstLine="482" w:firstLineChars="200"/>
        <w:rPr>
          <w:rFonts w:ascii="黑体" w:hAnsi="黑体" w:eastAsia="黑体"/>
          <w:b/>
          <w:sz w:val="24"/>
          <w:szCs w:val="24"/>
        </w:rPr>
      </w:pPr>
      <w:r>
        <w:rPr>
          <w:rFonts w:hint="eastAsia" w:ascii="黑体" w:hAnsi="黑体" w:eastAsia="黑体"/>
          <w:b/>
          <w:sz w:val="24"/>
          <w:szCs w:val="24"/>
        </w:rPr>
        <w:t>四</w:t>
      </w:r>
      <w:r>
        <w:rPr>
          <w:rFonts w:ascii="黑体" w:hAnsi="黑体" w:eastAsia="黑体"/>
          <w:b/>
          <w:sz w:val="24"/>
          <w:szCs w:val="24"/>
        </w:rPr>
        <w:t>、职业面向</w:t>
      </w:r>
    </w:p>
    <w:tbl>
      <w:tblPr>
        <w:tblStyle w:val="12"/>
        <w:tblpPr w:leftFromText="180" w:rightFromText="180" w:vertAnchor="text" w:horzAnchor="margin" w:tblpXSpec="center" w:tblpY="67"/>
        <w:tblW w:w="89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1"/>
        <w:gridCol w:w="1335"/>
        <w:gridCol w:w="1073"/>
        <w:gridCol w:w="1309"/>
        <w:gridCol w:w="2233"/>
        <w:gridCol w:w="17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7" w:hRule="exact"/>
        </w:trPr>
        <w:tc>
          <w:tcPr>
            <w:tcW w:w="1241" w:type="dxa"/>
            <w:vAlign w:val="center"/>
          </w:tcPr>
          <w:p>
            <w:pPr>
              <w:jc w:val="center"/>
              <w:rPr>
                <w:sz w:val="24"/>
              </w:rPr>
            </w:pPr>
            <w:r>
              <w:rPr>
                <w:rFonts w:hint="eastAsia"/>
                <w:sz w:val="24"/>
              </w:rPr>
              <w:t>所属</w:t>
            </w:r>
          </w:p>
          <w:p>
            <w:pPr>
              <w:jc w:val="center"/>
              <w:rPr>
                <w:sz w:val="24"/>
              </w:rPr>
            </w:pPr>
            <w:r>
              <w:rPr>
                <w:rFonts w:hint="eastAsia"/>
                <w:sz w:val="24"/>
              </w:rPr>
              <w:t>专业大类</w:t>
            </w:r>
          </w:p>
        </w:tc>
        <w:tc>
          <w:tcPr>
            <w:tcW w:w="1335" w:type="dxa"/>
            <w:vAlign w:val="center"/>
          </w:tcPr>
          <w:p>
            <w:pPr>
              <w:jc w:val="center"/>
              <w:rPr>
                <w:sz w:val="24"/>
              </w:rPr>
            </w:pPr>
            <w:r>
              <w:rPr>
                <w:rFonts w:hint="eastAsia"/>
                <w:sz w:val="24"/>
              </w:rPr>
              <w:t>所属</w:t>
            </w:r>
          </w:p>
          <w:p>
            <w:pPr>
              <w:jc w:val="center"/>
              <w:rPr>
                <w:sz w:val="24"/>
              </w:rPr>
            </w:pPr>
            <w:r>
              <w:rPr>
                <w:rFonts w:hint="eastAsia"/>
                <w:sz w:val="24"/>
              </w:rPr>
              <w:t>专业类</w:t>
            </w:r>
          </w:p>
        </w:tc>
        <w:tc>
          <w:tcPr>
            <w:tcW w:w="1073" w:type="dxa"/>
            <w:vAlign w:val="center"/>
          </w:tcPr>
          <w:p>
            <w:pPr>
              <w:jc w:val="center"/>
              <w:rPr>
                <w:sz w:val="24"/>
              </w:rPr>
            </w:pPr>
            <w:r>
              <w:rPr>
                <w:rFonts w:hint="eastAsia"/>
                <w:sz w:val="24"/>
              </w:rPr>
              <w:t>对应</w:t>
            </w:r>
          </w:p>
          <w:p>
            <w:pPr>
              <w:jc w:val="center"/>
              <w:rPr>
                <w:sz w:val="24"/>
              </w:rPr>
            </w:pPr>
            <w:r>
              <w:rPr>
                <w:rFonts w:hint="eastAsia"/>
                <w:sz w:val="24"/>
              </w:rPr>
              <w:t>行业</w:t>
            </w:r>
          </w:p>
        </w:tc>
        <w:tc>
          <w:tcPr>
            <w:tcW w:w="1309" w:type="dxa"/>
            <w:vAlign w:val="center"/>
          </w:tcPr>
          <w:p>
            <w:pPr>
              <w:jc w:val="center"/>
              <w:rPr>
                <w:sz w:val="24"/>
              </w:rPr>
            </w:pPr>
            <w:r>
              <w:rPr>
                <w:rFonts w:hint="eastAsia"/>
                <w:sz w:val="24"/>
              </w:rPr>
              <w:t>主要职业类别</w:t>
            </w:r>
          </w:p>
        </w:tc>
        <w:tc>
          <w:tcPr>
            <w:tcW w:w="2233" w:type="dxa"/>
            <w:vAlign w:val="center"/>
          </w:tcPr>
          <w:p>
            <w:pPr>
              <w:jc w:val="center"/>
              <w:rPr>
                <w:sz w:val="24"/>
              </w:rPr>
            </w:pPr>
            <w:r>
              <w:rPr>
                <w:rFonts w:hint="eastAsia"/>
                <w:sz w:val="24"/>
              </w:rPr>
              <w:t>主要岗位类别</w:t>
            </w:r>
          </w:p>
          <w:p>
            <w:pPr>
              <w:jc w:val="center"/>
              <w:rPr>
                <w:sz w:val="24"/>
              </w:rPr>
            </w:pPr>
            <w:r>
              <w:rPr>
                <w:rFonts w:hint="eastAsia"/>
                <w:sz w:val="24"/>
              </w:rPr>
              <w:t>（或技术领域）</w:t>
            </w:r>
          </w:p>
        </w:tc>
        <w:tc>
          <w:tcPr>
            <w:tcW w:w="1784" w:type="dxa"/>
            <w:vAlign w:val="center"/>
          </w:tcPr>
          <w:p>
            <w:pPr>
              <w:jc w:val="center"/>
              <w:rPr>
                <w:sz w:val="24"/>
              </w:rPr>
            </w:pPr>
            <w:r>
              <w:rPr>
                <w:rFonts w:hint="eastAsia"/>
                <w:sz w:val="24"/>
              </w:rPr>
              <w:t>相应专业实践能力证书举例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3" w:hRule="exact"/>
        </w:trPr>
        <w:tc>
          <w:tcPr>
            <w:tcW w:w="1241" w:type="dxa"/>
            <w:vAlign w:val="center"/>
          </w:tcPr>
          <w:p>
            <w:pPr>
              <w:spacing w:line="520" w:lineRule="exact"/>
              <w:jc w:val="center"/>
              <w:rPr>
                <w:rFonts w:hint="eastAsia" w:cs="Tahoma" w:eastAsiaTheme="minorEastAsia"/>
                <w:bCs/>
                <w:kern w:val="0"/>
                <w:szCs w:val="21"/>
                <w:lang w:eastAsia="zh-CN"/>
              </w:rPr>
            </w:pPr>
            <w:r>
              <w:rPr>
                <w:rFonts w:hint="eastAsia" w:cs="Tahoma"/>
                <w:bCs/>
                <w:kern w:val="0"/>
                <w:szCs w:val="21"/>
              </w:rPr>
              <w:t>土木建筑大类</w:t>
            </w:r>
            <w:r>
              <w:rPr>
                <w:rFonts w:hint="eastAsia" w:cs="Tahoma"/>
                <w:bCs/>
                <w:kern w:val="0"/>
                <w:szCs w:val="21"/>
                <w:lang w:eastAsia="zh-CN"/>
              </w:rPr>
              <w:t>（</w:t>
            </w:r>
            <w:r>
              <w:rPr>
                <w:rFonts w:hint="eastAsia" w:cs="Tahoma"/>
                <w:bCs/>
                <w:kern w:val="0"/>
                <w:szCs w:val="21"/>
                <w:lang w:val="en-US" w:eastAsia="zh-CN"/>
              </w:rPr>
              <w:t>44</w:t>
            </w:r>
            <w:r>
              <w:rPr>
                <w:rFonts w:hint="eastAsia" w:cs="Tahoma"/>
                <w:bCs/>
                <w:kern w:val="0"/>
                <w:szCs w:val="21"/>
                <w:lang w:eastAsia="zh-CN"/>
              </w:rPr>
              <w:t>）</w:t>
            </w:r>
          </w:p>
        </w:tc>
        <w:tc>
          <w:tcPr>
            <w:tcW w:w="1335" w:type="dxa"/>
            <w:vAlign w:val="center"/>
          </w:tcPr>
          <w:p>
            <w:pPr>
              <w:spacing w:line="520" w:lineRule="exact"/>
              <w:jc w:val="center"/>
              <w:rPr>
                <w:rFonts w:cs="Tahoma"/>
                <w:bCs/>
                <w:kern w:val="0"/>
                <w:szCs w:val="21"/>
              </w:rPr>
            </w:pPr>
            <w:r>
              <w:rPr>
                <w:rFonts w:hint="eastAsia" w:cs="Tahoma"/>
                <w:bCs/>
                <w:kern w:val="0"/>
                <w:szCs w:val="21"/>
              </w:rPr>
              <w:t>土建施工类</w:t>
            </w:r>
            <w:r>
              <w:rPr>
                <w:rFonts w:hint="eastAsia" w:cs="Tahoma"/>
                <w:bCs/>
                <w:kern w:val="0"/>
                <w:szCs w:val="21"/>
                <w:lang w:eastAsia="zh-CN"/>
              </w:rPr>
              <w:t>（</w:t>
            </w:r>
            <w:r>
              <w:rPr>
                <w:rFonts w:hint="eastAsia" w:cs="Tahoma"/>
                <w:bCs/>
                <w:kern w:val="0"/>
                <w:szCs w:val="21"/>
              </w:rPr>
              <w:t>440305</w:t>
            </w:r>
            <w:r>
              <w:rPr>
                <w:rFonts w:hint="eastAsia" w:cs="Tahoma"/>
                <w:bCs/>
                <w:kern w:val="0"/>
                <w:szCs w:val="21"/>
                <w:lang w:eastAsia="zh-CN"/>
              </w:rPr>
              <w:t>）</w:t>
            </w:r>
          </w:p>
        </w:tc>
        <w:tc>
          <w:tcPr>
            <w:tcW w:w="1073" w:type="dxa"/>
            <w:vAlign w:val="center"/>
          </w:tcPr>
          <w:p>
            <w:pPr>
              <w:spacing w:line="400" w:lineRule="exact"/>
              <w:jc w:val="center"/>
              <w:rPr>
                <w:rFonts w:ascii="宋体"/>
                <w:sz w:val="24"/>
                <w:szCs w:val="24"/>
              </w:rPr>
            </w:pPr>
            <w:r>
              <w:rPr>
                <w:rFonts w:hint="eastAsia" w:ascii="宋体"/>
                <w:sz w:val="24"/>
                <w:szCs w:val="24"/>
              </w:rPr>
              <w:t>交通运输业</w:t>
            </w:r>
          </w:p>
          <w:p>
            <w:pPr>
              <w:spacing w:line="400" w:lineRule="exact"/>
              <w:jc w:val="center"/>
              <w:rPr>
                <w:rFonts w:ascii="宋体" w:hAnsiTheme="minorHAnsi" w:eastAsiaTheme="minorEastAsia" w:cstheme="minorBidi"/>
                <w:kern w:val="2"/>
                <w:sz w:val="24"/>
                <w:szCs w:val="24"/>
                <w:lang w:val="en-US" w:eastAsia="zh-CN" w:bidi="ar-SA"/>
              </w:rPr>
            </w:pPr>
            <w:r>
              <w:rPr>
                <w:rFonts w:hint="eastAsia" w:ascii="宋体"/>
                <w:sz w:val="24"/>
                <w:szCs w:val="24"/>
              </w:rPr>
              <w:t>建筑施工行业</w:t>
            </w:r>
          </w:p>
        </w:tc>
        <w:tc>
          <w:tcPr>
            <w:tcW w:w="1309" w:type="dxa"/>
            <w:vAlign w:val="center"/>
          </w:tcPr>
          <w:p>
            <w:pPr>
              <w:spacing w:line="400" w:lineRule="exact"/>
              <w:jc w:val="left"/>
              <w:rPr>
                <w:rFonts w:ascii="宋体" w:hAnsiTheme="minorHAnsi" w:eastAsiaTheme="minorEastAsia" w:cstheme="minorBidi"/>
                <w:kern w:val="2"/>
                <w:sz w:val="24"/>
                <w:szCs w:val="24"/>
                <w:lang w:val="en-US" w:eastAsia="zh-CN" w:bidi="ar-SA"/>
              </w:rPr>
            </w:pPr>
            <w:r>
              <w:rPr>
                <w:rFonts w:hint="eastAsia" w:ascii="宋体"/>
                <w:sz w:val="24"/>
                <w:szCs w:val="24"/>
              </w:rPr>
              <w:t>轨道交通施工及土木工程施工技术人员</w:t>
            </w:r>
          </w:p>
        </w:tc>
        <w:tc>
          <w:tcPr>
            <w:tcW w:w="2233" w:type="dxa"/>
            <w:vAlign w:val="center"/>
          </w:tcPr>
          <w:p>
            <w:pPr>
              <w:spacing w:line="400" w:lineRule="exact"/>
              <w:jc w:val="left"/>
              <w:rPr>
                <w:rFonts w:ascii="宋体" w:hAnsiTheme="minorHAnsi" w:eastAsiaTheme="minorEastAsia" w:cstheme="minorBidi"/>
                <w:kern w:val="2"/>
                <w:sz w:val="24"/>
                <w:szCs w:val="24"/>
                <w:lang w:val="en-US" w:eastAsia="zh-CN" w:bidi="ar-SA"/>
              </w:rPr>
            </w:pPr>
            <w:r>
              <w:rPr>
                <w:rFonts w:hint="eastAsia" w:ascii="Algerian" w:hAnsi="Algerian"/>
                <w:sz w:val="24"/>
              </w:rPr>
              <w:t>公路、铁路、水利水电、矿山以及城市地下工程等行业生产、建设、服务和管理岗位。</w:t>
            </w:r>
          </w:p>
        </w:tc>
        <w:tc>
          <w:tcPr>
            <w:tcW w:w="1784" w:type="dxa"/>
            <w:vAlign w:val="center"/>
          </w:tcPr>
          <w:p>
            <w:pPr>
              <w:spacing w:line="400" w:lineRule="exact"/>
              <w:jc w:val="left"/>
              <w:rPr>
                <w:rFonts w:ascii="宋体" w:hAnsiTheme="minorHAnsi" w:eastAsiaTheme="minorEastAsia" w:cstheme="minorBidi"/>
                <w:kern w:val="2"/>
                <w:sz w:val="24"/>
                <w:szCs w:val="24"/>
                <w:lang w:val="en-US" w:eastAsia="zh-CN" w:bidi="ar-SA"/>
              </w:rPr>
            </w:pPr>
            <w:r>
              <w:rPr>
                <w:rFonts w:hint="eastAsia" w:ascii="宋体" w:hAnsi="宋体"/>
                <w:sz w:val="24"/>
                <w:szCs w:val="24"/>
              </w:rPr>
              <w:t>教育部下发教学标准中无证书要求。</w:t>
            </w:r>
          </w:p>
        </w:tc>
      </w:tr>
    </w:tbl>
    <w:p>
      <w:pPr>
        <w:spacing w:line="560" w:lineRule="exact"/>
        <w:ind w:firstLine="482" w:firstLineChars="200"/>
        <w:rPr>
          <w:rFonts w:ascii="黑体" w:hAnsi="黑体" w:eastAsia="黑体"/>
          <w:b/>
          <w:sz w:val="24"/>
          <w:szCs w:val="24"/>
        </w:rPr>
      </w:pPr>
      <w:r>
        <w:rPr>
          <w:rFonts w:hint="eastAsia" w:ascii="黑体" w:hAnsi="黑体" w:eastAsia="黑体"/>
          <w:b/>
          <w:sz w:val="24"/>
          <w:szCs w:val="24"/>
        </w:rPr>
        <w:t>五</w:t>
      </w:r>
      <w:r>
        <w:rPr>
          <w:rFonts w:ascii="黑体" w:hAnsi="黑体" w:eastAsia="黑体"/>
          <w:b/>
          <w:sz w:val="24"/>
          <w:szCs w:val="24"/>
        </w:rPr>
        <w:t>、培养目标与</w:t>
      </w:r>
      <w:r>
        <w:rPr>
          <w:rFonts w:hint="eastAsia" w:ascii="黑体" w:hAnsi="黑体" w:eastAsia="黑体"/>
          <w:b/>
          <w:sz w:val="24"/>
          <w:szCs w:val="24"/>
        </w:rPr>
        <w:t>培养</w:t>
      </w:r>
      <w:r>
        <w:rPr>
          <w:rFonts w:ascii="黑体" w:hAnsi="黑体" w:eastAsia="黑体"/>
          <w:b/>
          <w:sz w:val="24"/>
          <w:szCs w:val="24"/>
        </w:rPr>
        <w:t>规格</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（一）培养目标</w:t>
      </w:r>
    </w:p>
    <w:p>
      <w:pPr>
        <w:spacing w:line="560" w:lineRule="exact"/>
        <w:ind w:firstLine="480" w:firstLineChars="200"/>
        <w:rPr>
          <w:rFonts w:ascii="宋体"/>
          <w:sz w:val="24"/>
          <w:szCs w:val="24"/>
        </w:rPr>
      </w:pPr>
      <w:r>
        <w:rPr>
          <w:rFonts w:hint="eastAsia" w:ascii="宋体" w:hAnsi="宋体"/>
          <w:sz w:val="24"/>
          <w:szCs w:val="24"/>
        </w:rPr>
        <w:t>本专业培养理想信念坚定，德、智、体、美、劳全面发展，具有一定的科学文化水平，良好的人文素养、职业道德和创新意识，精益求精的工匠精神，较强的就业能力和可持续发展的能力；掌握本专业知识和技术技能，</w:t>
      </w:r>
      <w:r>
        <w:rPr>
          <w:rFonts w:hint="eastAsia" w:ascii="Algerian" w:hAnsi="Algerian"/>
          <w:sz w:val="24"/>
        </w:rPr>
        <w:t>面向公路、铁路、水利水电、矿山以及城市地下工程等行业生产、建设、服务和管理一线，</w:t>
      </w:r>
      <w:r>
        <w:rPr>
          <w:rFonts w:hint="eastAsia" w:ascii="宋体" w:hAnsi="宋体"/>
          <w:sz w:val="24"/>
        </w:rPr>
        <w:t>培养思想品德优秀、身体健康灵活、心理素质良好、专业知识扎实，具有良好团队合作精神和职业素养，</w:t>
      </w:r>
      <w:r>
        <w:rPr>
          <w:rFonts w:hint="eastAsia" w:ascii="Algerian" w:hAnsi="Algerian"/>
          <w:sz w:val="24"/>
        </w:rPr>
        <w:t>可以从事地下工程和隧道工程的勘测设计、施工、试验检测、养护维修和工程管理等技术工作的</w:t>
      </w:r>
      <w:r>
        <w:rPr>
          <w:rFonts w:hint="eastAsia" w:ascii="宋体" w:hAnsi="宋体"/>
          <w:sz w:val="24"/>
        </w:rPr>
        <w:t>高素质技术技能型人才。</w:t>
      </w:r>
    </w:p>
    <w:p>
      <w:pPr>
        <w:adjustRightInd w:val="0"/>
        <w:spacing w:line="560" w:lineRule="exact"/>
        <w:ind w:firstLine="482" w:firstLineChars="200"/>
        <w:rPr>
          <w:rFonts w:asciiTheme="minorEastAsia" w:hAnsiTheme="minorEastAsia"/>
          <w:b/>
          <w:sz w:val="24"/>
          <w:szCs w:val="24"/>
        </w:rPr>
      </w:pPr>
      <w:r>
        <w:rPr>
          <w:rFonts w:hint="eastAsia" w:asciiTheme="minorEastAsia" w:hAnsiTheme="minorEastAsia"/>
          <w:b/>
          <w:sz w:val="24"/>
          <w:szCs w:val="24"/>
        </w:rPr>
        <w:t>（二）培养规格</w:t>
      </w:r>
    </w:p>
    <w:p>
      <w:pPr>
        <w:spacing w:line="560" w:lineRule="exact"/>
        <w:ind w:firstLine="482" w:firstLineChars="200"/>
        <w:rPr>
          <w:rFonts w:ascii="宋体"/>
          <w:b/>
          <w:sz w:val="24"/>
          <w:szCs w:val="24"/>
        </w:rPr>
      </w:pPr>
      <w:r>
        <w:rPr>
          <w:rFonts w:ascii="宋体" w:hAnsi="宋体"/>
          <w:b/>
          <w:sz w:val="24"/>
          <w:szCs w:val="24"/>
        </w:rPr>
        <w:t>1</w:t>
      </w:r>
      <w:r>
        <w:rPr>
          <w:rFonts w:hint="eastAsia" w:ascii="宋体" w:hAnsi="宋体"/>
          <w:b/>
          <w:sz w:val="24"/>
          <w:szCs w:val="24"/>
        </w:rPr>
        <w:t>．素质</w:t>
      </w:r>
    </w:p>
    <w:p>
      <w:pPr>
        <w:spacing w:line="560" w:lineRule="exact"/>
        <w:ind w:firstLine="480" w:firstLineChars="200"/>
        <w:rPr>
          <w:rFonts w:hint="eastAsia" w:ascii="宋体" w:hAnsi="宋体" w:eastAsiaTheme="minorEastAsia"/>
          <w:sz w:val="24"/>
          <w:szCs w:val="24"/>
          <w:lang w:eastAsia="zh-CN"/>
        </w:rPr>
      </w:pPr>
      <w:r>
        <w:rPr>
          <w:rFonts w:hint="eastAsia" w:ascii="宋体" w:hAnsi="宋体"/>
          <w:sz w:val="24"/>
          <w:szCs w:val="24"/>
        </w:rPr>
        <w:t>(1)具有良好的职业道德素养，能遵守并维护国家宪法和法律，遵守交通建设工程行业的相关的法律、法规。</w:t>
      </w:r>
    </w:p>
    <w:p>
      <w:pPr>
        <w:spacing w:line="560" w:lineRule="exact"/>
        <w:ind w:firstLine="480" w:firstLineChars="200"/>
        <w:rPr>
          <w:rFonts w:hint="eastAsia" w:ascii="宋体" w:hAnsi="宋体" w:eastAsiaTheme="minorEastAsia"/>
          <w:sz w:val="24"/>
          <w:szCs w:val="24"/>
          <w:lang w:eastAsia="zh-CN"/>
        </w:rPr>
      </w:pPr>
      <w:r>
        <w:rPr>
          <w:rFonts w:hint="eastAsia" w:ascii="宋体" w:hAnsi="宋体"/>
          <w:sz w:val="24"/>
          <w:szCs w:val="24"/>
          <w:lang w:val="en-US" w:eastAsia="zh-CN"/>
        </w:rPr>
        <w:t xml:space="preserve"> </w:t>
      </w:r>
      <w:r>
        <w:rPr>
          <w:rFonts w:hint="eastAsia" w:ascii="宋体" w:hAnsi="宋体"/>
          <w:sz w:val="24"/>
          <w:szCs w:val="24"/>
        </w:rPr>
        <w:t>(2)具有良好的社会适应能力、人际交流能力、团队协作能力和职业服务意识。</w:t>
      </w:r>
    </w:p>
    <w:p>
      <w:pPr>
        <w:spacing w:line="560" w:lineRule="exact"/>
        <w:ind w:firstLine="480" w:firstLineChars="200"/>
        <w:rPr>
          <w:rFonts w:hint="eastAsia" w:ascii="宋体" w:hAnsi="宋体" w:eastAsiaTheme="minorEastAsia"/>
          <w:sz w:val="24"/>
          <w:szCs w:val="24"/>
          <w:lang w:eastAsia="zh-CN"/>
        </w:rPr>
      </w:pPr>
      <w:r>
        <w:rPr>
          <w:rFonts w:hint="eastAsia" w:ascii="宋体" w:hAnsi="宋体"/>
          <w:sz w:val="24"/>
          <w:szCs w:val="24"/>
          <w:lang w:val="en-US" w:eastAsia="zh-CN"/>
        </w:rPr>
        <w:t xml:space="preserve"> </w:t>
      </w:r>
      <w:r>
        <w:rPr>
          <w:rFonts w:hint="eastAsia" w:ascii="宋体" w:hAnsi="宋体"/>
          <w:sz w:val="24"/>
          <w:szCs w:val="24"/>
        </w:rPr>
        <w:t>(3)具有安全、文明生产和环境保护的相关知识和技能。</w:t>
      </w:r>
    </w:p>
    <w:p>
      <w:pPr>
        <w:spacing w:line="560" w:lineRule="exact"/>
        <w:ind w:firstLine="480" w:firstLineChars="200"/>
        <w:rPr>
          <w:rFonts w:hint="eastAsia" w:ascii="宋体" w:hAnsi="宋体" w:eastAsiaTheme="minorEastAsia"/>
          <w:sz w:val="24"/>
          <w:szCs w:val="24"/>
          <w:lang w:eastAsia="zh-CN"/>
        </w:rPr>
      </w:pPr>
      <w:r>
        <w:rPr>
          <w:rFonts w:hint="eastAsia" w:ascii="宋体" w:hAnsi="宋体"/>
          <w:sz w:val="24"/>
          <w:szCs w:val="24"/>
          <w:lang w:val="en-US" w:eastAsia="zh-CN"/>
        </w:rPr>
        <w:t xml:space="preserve"> </w:t>
      </w:r>
      <w:r>
        <w:rPr>
          <w:rFonts w:hint="eastAsia" w:ascii="宋体" w:hAnsi="宋体"/>
          <w:sz w:val="24"/>
          <w:szCs w:val="24"/>
        </w:rPr>
        <w:t>(4)具有良好的文化修养和健康的心理素质，有良好的行为习惯和健康的体魄，在校期间达到国家规定的体育锻炼标准。</w:t>
      </w:r>
    </w:p>
    <w:p>
      <w:pPr>
        <w:spacing w:line="560" w:lineRule="exact"/>
        <w:ind w:firstLine="480" w:firstLineChars="200"/>
        <w:rPr>
          <w:rFonts w:hint="eastAsia" w:ascii="宋体" w:hAnsi="宋体"/>
          <w:sz w:val="24"/>
          <w:szCs w:val="24"/>
        </w:rPr>
      </w:pPr>
      <w:r>
        <w:rPr>
          <w:rFonts w:hint="eastAsia" w:ascii="宋体" w:hAnsi="宋体"/>
          <w:sz w:val="24"/>
          <w:szCs w:val="24"/>
          <w:lang w:val="en-US" w:eastAsia="zh-CN"/>
        </w:rPr>
        <w:t xml:space="preserve"> </w:t>
      </w:r>
      <w:r>
        <w:rPr>
          <w:rFonts w:hint="eastAsia" w:ascii="宋体" w:hAnsi="宋体"/>
          <w:sz w:val="24"/>
          <w:szCs w:val="24"/>
        </w:rPr>
        <w:t>(5)具有较扎实的本专业基础理论知识和从事本专业工作的基本技能、综合实践能力，具有较强的就业能力和创业能力。</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2．知识</w:t>
      </w:r>
    </w:p>
    <w:p>
      <w:pPr>
        <w:spacing w:line="560" w:lineRule="exact"/>
        <w:ind w:left="479" w:leftChars="228" w:firstLine="0" w:firstLineChars="0"/>
        <w:rPr>
          <w:rFonts w:hint="eastAsia" w:ascii="宋体" w:hAnsi="宋体" w:eastAsia="宋体" w:cs="宋体"/>
          <w:sz w:val="24"/>
          <w:szCs w:val="24"/>
          <w:lang w:eastAsia="zh-CN"/>
        </w:rPr>
      </w:pPr>
      <w:r>
        <w:rPr>
          <w:rFonts w:ascii="宋体" w:hAnsi="宋体" w:eastAsia="宋体" w:cs="宋体"/>
          <w:sz w:val="24"/>
          <w:szCs w:val="24"/>
        </w:rPr>
        <w:t>(1)具有必要的文化基础知识、英语基础知识和- -定的人文社会科学知识。</w:t>
      </w:r>
    </w:p>
    <w:p>
      <w:pPr>
        <w:spacing w:line="560" w:lineRule="exact"/>
        <w:ind w:left="479" w:leftChars="228" w:firstLine="0" w:firstLineChars="0"/>
        <w:rPr>
          <w:rFonts w:hint="eastAsia" w:ascii="宋体" w:hAnsi="宋体" w:eastAsia="宋体" w:cs="宋体"/>
          <w:sz w:val="24"/>
          <w:szCs w:val="24"/>
          <w:lang w:eastAsia="zh-CN"/>
        </w:rPr>
      </w:pPr>
      <w:r>
        <w:rPr>
          <w:rFonts w:ascii="宋体" w:hAnsi="宋体" w:eastAsia="宋体" w:cs="宋体"/>
          <w:sz w:val="24"/>
          <w:szCs w:val="24"/>
        </w:rPr>
        <w:t>(2)具有本专业所必需的基础理论知识。</w:t>
      </w:r>
    </w:p>
    <w:p>
      <w:pPr>
        <w:spacing w:line="560" w:lineRule="exact"/>
        <w:ind w:left="479" w:leftChars="228" w:firstLine="0" w:firstLineChars="0"/>
        <w:rPr>
          <w:rFonts w:hint="eastAsia" w:ascii="宋体" w:hAnsi="宋体" w:eastAsia="宋体" w:cs="宋体"/>
          <w:sz w:val="24"/>
          <w:szCs w:val="24"/>
          <w:lang w:eastAsia="zh-CN"/>
        </w:rPr>
      </w:pPr>
      <w:r>
        <w:rPr>
          <w:rFonts w:ascii="宋体" w:hAnsi="宋体" w:eastAsia="宋体" w:cs="宋体"/>
          <w:sz w:val="24"/>
          <w:szCs w:val="24"/>
        </w:rPr>
        <w:t>(3)具有企业管理、生产经营和技术经济分析的基础知识。</w:t>
      </w:r>
    </w:p>
    <w:p>
      <w:pPr>
        <w:spacing w:line="560" w:lineRule="exact"/>
        <w:ind w:left="479" w:leftChars="228" w:firstLine="0" w:firstLineChars="0"/>
        <w:rPr>
          <w:rFonts w:hint="eastAsia" w:ascii="宋体" w:hAnsi="宋体" w:eastAsia="宋体" w:cs="宋体"/>
          <w:sz w:val="24"/>
          <w:szCs w:val="24"/>
          <w:lang w:eastAsia="zh-CN"/>
        </w:rPr>
      </w:pPr>
      <w:r>
        <w:rPr>
          <w:rFonts w:ascii="宋体" w:hAnsi="宋体" w:eastAsia="宋体" w:cs="宋体"/>
          <w:sz w:val="24"/>
          <w:szCs w:val="24"/>
        </w:rPr>
        <w:t>(4)具有识读和绘制工程结构设计图、计算机操作应用的基本知识。</w:t>
      </w:r>
    </w:p>
    <w:p>
      <w:pPr>
        <w:spacing w:line="560" w:lineRule="exact"/>
        <w:ind w:left="479" w:leftChars="228" w:firstLine="0" w:firstLineChars="0"/>
        <w:rPr>
          <w:rFonts w:hint="eastAsia" w:ascii="宋体" w:hAnsi="宋体" w:eastAsia="宋体" w:cs="宋体"/>
          <w:sz w:val="24"/>
          <w:szCs w:val="24"/>
          <w:lang w:eastAsia="zh-CN"/>
        </w:rPr>
      </w:pPr>
      <w:r>
        <w:rPr>
          <w:rFonts w:ascii="宋体" w:hAnsi="宋体" w:eastAsia="宋体" w:cs="宋体"/>
          <w:sz w:val="24"/>
          <w:szCs w:val="24"/>
        </w:rPr>
        <w:t>(5)能叙述工程建设法律、法规:会描述工程建设管理体制和模式。*</w:t>
      </w:r>
    </w:p>
    <w:p>
      <w:pPr>
        <w:spacing w:line="560" w:lineRule="exact"/>
        <w:ind w:left="479" w:leftChars="228" w:firstLine="0" w:firstLineChars="0"/>
        <w:rPr>
          <w:rFonts w:ascii="宋体" w:hAnsi="宋体" w:eastAsia="宋体" w:cs="宋体"/>
          <w:sz w:val="24"/>
          <w:szCs w:val="24"/>
        </w:rPr>
      </w:pPr>
      <w:r>
        <w:rPr>
          <w:rFonts w:ascii="宋体" w:hAnsi="宋体" w:eastAsia="宋体" w:cs="宋体"/>
          <w:sz w:val="24"/>
          <w:szCs w:val="24"/>
        </w:rPr>
        <w:t>(6)能叙述地隧科技发展的动态，具有本专业的新技术、新设备、新材料、</w:t>
      </w:r>
    </w:p>
    <w:p>
      <w:pPr>
        <w:spacing w:line="560" w:lineRule="exact"/>
        <w:rPr>
          <w:rFonts w:ascii="宋体" w:hAnsi="宋体" w:eastAsia="宋体" w:cs="宋体"/>
          <w:sz w:val="24"/>
          <w:szCs w:val="24"/>
        </w:rPr>
      </w:pPr>
      <w:r>
        <w:rPr>
          <w:rFonts w:ascii="宋体" w:hAnsi="宋体" w:eastAsia="宋体" w:cs="宋体"/>
          <w:sz w:val="24"/>
          <w:szCs w:val="24"/>
        </w:rPr>
        <w:t>新工艺等方面知识。</w:t>
      </w:r>
    </w:p>
    <w:p>
      <w:pPr>
        <w:spacing w:line="560" w:lineRule="exact"/>
        <w:ind w:firstLine="480" w:firstLineChars="200"/>
        <w:rPr>
          <w:rFonts w:asciiTheme="minorEastAsia" w:hAnsiTheme="minorEastAsia"/>
          <w:sz w:val="24"/>
          <w:szCs w:val="24"/>
        </w:rPr>
      </w:pPr>
      <w:r>
        <w:rPr>
          <w:rFonts w:ascii="宋体" w:hAnsi="宋体" w:eastAsia="宋体" w:cs="宋体"/>
          <w:sz w:val="24"/>
          <w:szCs w:val="24"/>
        </w:rPr>
        <w:t>(7)能描述土石方明挖与暗挖工程的施工、试验检测、测设和工程技术管理等基础知识。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3．能力</w:t>
      </w:r>
    </w:p>
    <w:p>
      <w:pPr>
        <w:adjustRightInd w:val="0"/>
        <w:spacing w:line="560" w:lineRule="exact"/>
        <w:ind w:firstLine="480" w:firstLineChars="200"/>
        <w:rPr>
          <w:rFonts w:hint="eastAsia" w:ascii="宋体" w:hAnsi="宋体" w:eastAsia="宋体" w:cs="宋体"/>
          <w:sz w:val="24"/>
          <w:szCs w:val="24"/>
          <w:lang w:eastAsia="zh-CN"/>
        </w:rPr>
      </w:pPr>
      <w:r>
        <w:rPr>
          <w:rFonts w:ascii="宋体" w:hAnsi="宋体" w:eastAsia="宋体" w:cs="宋体"/>
          <w:sz w:val="24"/>
          <w:szCs w:val="24"/>
        </w:rPr>
        <w:t>(1)具有一定的英语应用能力，能阅读和翻译本专业外文资料的能力。</w:t>
      </w:r>
    </w:p>
    <w:p>
      <w:pPr>
        <w:adjustRightInd w:val="0"/>
        <w:spacing w:line="5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(2)具有识读和绘制工程结构设计图的能力(包括AutoCAD操作技术能力)。</w:t>
      </w:r>
    </w:p>
    <w:p>
      <w:pPr>
        <w:adjustRightInd w:val="0"/>
        <w:spacing w:line="5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(3)具有地下与隧道工程勘测、施工放样和竣工测量的能力。</w:t>
      </w:r>
    </w:p>
    <w:p>
      <w:pPr>
        <w:adjustRightInd w:val="0"/>
        <w:spacing w:line="5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(4)具有地下与隧道工程试验检测的能力。</w:t>
      </w:r>
    </w:p>
    <w:p>
      <w:pPr>
        <w:adjustRightInd w:val="0"/>
        <w:spacing w:line="5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(5)具有在现场从事地下与隧道工程施工技术工作及施工管理的能力。</w:t>
      </w:r>
    </w:p>
    <w:p>
      <w:pPr>
        <w:adjustRightInd w:val="0"/>
        <w:spacing w:line="5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(6)具有现场工程计量和工程结算、编制地下与隧道工程施工决算、使用工程概算、预算软件编制工程造价的能力。</w:t>
      </w:r>
    </w:p>
    <w:p>
      <w:pPr>
        <w:adjustRightInd w:val="0"/>
        <w:spacing w:line="56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  </w:t>
      </w:r>
      <w:r>
        <w:rPr>
          <w:rFonts w:ascii="宋体" w:hAnsi="宋体" w:eastAsia="宋体" w:cs="宋体"/>
          <w:sz w:val="24"/>
          <w:szCs w:val="24"/>
        </w:rPr>
        <w:t>(7)具有计算机安装和操作使用常用专业软件的能力。</w:t>
      </w:r>
    </w:p>
    <w:p>
      <w:pPr>
        <w:adjustRightInd w:val="0"/>
        <w:spacing w:line="560" w:lineRule="exact"/>
        <w:ind w:firstLine="480" w:firstLineChars="200"/>
        <w:rPr>
          <w:rFonts w:hint="eastAsia" w:ascii="黑体" w:hAnsi="黑体" w:eastAsia="黑体"/>
          <w:b/>
          <w:sz w:val="24"/>
          <w:szCs w:val="24"/>
        </w:rPr>
      </w:pPr>
      <w:r>
        <w:rPr>
          <w:rFonts w:hint="eastAsia" w:ascii="宋体" w:hAnsi="宋体" w:eastAsia="宋体" w:cs="宋体"/>
          <w:sz w:val="24"/>
          <w:szCs w:val="24"/>
          <w:lang w:val="en-US" w:eastAsia="zh-CN"/>
        </w:rPr>
        <w:t xml:space="preserve">  </w:t>
      </w:r>
      <w:r>
        <w:rPr>
          <w:rFonts w:ascii="宋体" w:hAnsi="宋体" w:eastAsia="宋体" w:cs="宋体"/>
          <w:sz w:val="24"/>
          <w:szCs w:val="24"/>
        </w:rPr>
        <w:t>(8)具有较强自学和获取新知识的能力，较强的可持续发展能力和</w:t>
      </w:r>
      <w:r>
        <w:rPr>
          <w:rFonts w:hint="eastAsia" w:ascii="宋体" w:hAnsi="宋体" w:eastAsia="宋体" w:cs="宋体"/>
          <w:sz w:val="24"/>
          <w:szCs w:val="24"/>
          <w:lang w:eastAsia="zh-CN"/>
        </w:rPr>
        <w:t>一</w:t>
      </w:r>
      <w:r>
        <w:rPr>
          <w:rFonts w:ascii="宋体" w:hAnsi="宋体" w:eastAsia="宋体" w:cs="宋体"/>
          <w:sz w:val="24"/>
          <w:szCs w:val="24"/>
        </w:rPr>
        <w:t>定的创新创业能力。</w:t>
      </w:r>
    </w:p>
    <w:p>
      <w:pPr>
        <w:adjustRightInd w:val="0"/>
        <w:spacing w:line="560" w:lineRule="exact"/>
        <w:ind w:firstLine="482" w:firstLineChars="200"/>
        <w:rPr>
          <w:rFonts w:ascii="黑体" w:hAnsi="黑体" w:eastAsia="黑体"/>
          <w:b/>
          <w:sz w:val="24"/>
          <w:szCs w:val="24"/>
        </w:rPr>
      </w:pPr>
      <w:r>
        <w:rPr>
          <w:rFonts w:hint="eastAsia" w:ascii="黑体" w:hAnsi="黑体" w:eastAsia="黑体"/>
          <w:b/>
          <w:sz w:val="24"/>
          <w:szCs w:val="24"/>
        </w:rPr>
        <w:t>六</w:t>
      </w:r>
      <w:r>
        <w:rPr>
          <w:rFonts w:ascii="黑体" w:hAnsi="黑体" w:eastAsia="黑体"/>
          <w:b/>
          <w:sz w:val="24"/>
          <w:szCs w:val="24"/>
        </w:rPr>
        <w:t>、课程设置</w:t>
      </w:r>
    </w:p>
    <w:p>
      <w:pPr>
        <w:widowControl/>
        <w:spacing w:line="360" w:lineRule="auto"/>
        <w:ind w:firstLine="480" w:firstLineChars="200"/>
        <w:jc w:val="left"/>
        <w:rPr>
          <w:rFonts w:ascii="宋体" w:hAnsi="宋体" w:eastAsia="宋体" w:cs="宋体"/>
          <w:bCs/>
          <w:kern w:val="0"/>
          <w:sz w:val="24"/>
          <w:szCs w:val="24"/>
        </w:rPr>
      </w:pPr>
      <w:r>
        <w:rPr>
          <w:rFonts w:hint="eastAsia" w:ascii="宋体" w:hAnsi="宋体" w:eastAsia="宋体" w:cs="宋体"/>
          <w:bCs/>
          <w:kern w:val="0"/>
          <w:sz w:val="24"/>
          <w:szCs w:val="24"/>
        </w:rPr>
        <w:t>主要包括公共基础课、专业（技能）课。</w:t>
      </w:r>
    </w:p>
    <w:p>
      <w:pPr>
        <w:keepNext w:val="0"/>
        <w:keepLines w:val="0"/>
        <w:pageBreakBefore w:val="0"/>
        <w:widowControl/>
        <w:kinsoku/>
        <w:wordWrap/>
        <w:overflowPunct/>
        <w:topLinePunct w:val="0"/>
        <w:autoSpaceDE/>
        <w:bidi w:val="0"/>
        <w:adjustRightInd/>
        <w:snapToGrid/>
        <w:spacing w:line="360" w:lineRule="auto"/>
        <w:ind w:firstLine="482" w:firstLineChars="200"/>
        <w:jc w:val="left"/>
        <w:textAlignment w:val="auto"/>
        <w:rPr>
          <w:rFonts w:ascii="宋体" w:hAnsi="宋体"/>
          <w:b/>
          <w:sz w:val="24"/>
          <w:szCs w:val="24"/>
        </w:rPr>
      </w:pPr>
      <w:r>
        <w:rPr>
          <w:rFonts w:hint="eastAsia" w:ascii="宋体" w:hAnsi="宋体"/>
          <w:b/>
          <w:sz w:val="24"/>
          <w:szCs w:val="24"/>
        </w:rPr>
        <w:t>（一）公共基础课</w:t>
      </w:r>
    </w:p>
    <w:p>
      <w:pPr>
        <w:keepNext w:val="0"/>
        <w:keepLines w:val="0"/>
        <w:pageBreakBefore w:val="0"/>
        <w:widowControl/>
        <w:kinsoku/>
        <w:wordWrap/>
        <w:overflowPunct/>
        <w:topLinePunct w:val="0"/>
        <w:autoSpaceDE/>
        <w:bidi w:val="0"/>
        <w:adjustRightInd/>
        <w:snapToGrid/>
        <w:spacing w:line="360" w:lineRule="auto"/>
        <w:ind w:firstLine="480" w:firstLineChars="200"/>
        <w:jc w:val="left"/>
        <w:textAlignment w:val="auto"/>
        <w:rPr>
          <w:rFonts w:hint="eastAsia" w:ascii="宋体" w:hAnsi="宋体" w:eastAsia="宋体" w:cs="宋体"/>
          <w:color w:val="333333"/>
          <w:kern w:val="0"/>
          <w:sz w:val="24"/>
          <w:szCs w:val="24"/>
        </w:rPr>
      </w:pPr>
      <w:r>
        <w:rPr>
          <w:rFonts w:hint="eastAsia" w:ascii="宋体" w:hAnsi="宋体" w:eastAsia="宋体" w:cs="宋体"/>
          <w:bCs/>
          <w:color w:val="333333"/>
          <w:kern w:val="0"/>
          <w:sz w:val="24"/>
          <w:szCs w:val="24"/>
        </w:rPr>
        <w:t>公共基础课指面向全院学生开设的公共基础教育为主的课程，是高素质人才培养的基本保证</w:t>
      </w:r>
      <w:r>
        <w:rPr>
          <w:rFonts w:hint="eastAsia" w:ascii="宋体" w:hAnsi="宋体" w:eastAsia="宋体" w:cs="宋体"/>
          <w:color w:val="333333"/>
          <w:kern w:val="0"/>
          <w:sz w:val="24"/>
          <w:szCs w:val="24"/>
        </w:rPr>
        <w:t>。内容为思想政治理论课、体育、高职应用数学、高职实用英语、军事课、劳动课、大学生职业发展与就业指导、创新创业基础教育、心理健康教育、中华优秀传统文化、信息技术（计算机应用基础）等课程。</w:t>
      </w:r>
    </w:p>
    <w:p>
      <w:pPr>
        <w:spacing w:line="360" w:lineRule="auto"/>
        <w:ind w:firstLine="482" w:firstLineChars="200"/>
        <w:rPr>
          <w:rFonts w:ascii="宋体" w:hAnsi="宋体"/>
          <w:b/>
          <w:sz w:val="24"/>
        </w:rPr>
      </w:pPr>
      <w:r>
        <w:rPr>
          <w:rFonts w:hint="eastAsia" w:ascii="宋体" w:hAnsi="宋体"/>
          <w:b/>
          <w:sz w:val="24"/>
        </w:rPr>
        <w:t>1. 高职应用数学</w:t>
      </w:r>
    </w:p>
    <w:p>
      <w:pPr>
        <w:spacing w:line="360" w:lineRule="auto"/>
        <w:ind w:firstLine="482" w:firstLineChars="200"/>
        <w:rPr>
          <w:rFonts w:hint="eastAsia" w:ascii="宋体" w:hAnsi="宋体"/>
          <w:color w:val="000000"/>
          <w:sz w:val="24"/>
          <w:szCs w:val="24"/>
        </w:rPr>
      </w:pPr>
      <w:r>
        <w:rPr>
          <w:rFonts w:hint="eastAsia" w:ascii="宋体" w:hAnsi="宋体"/>
          <w:b/>
          <w:bCs/>
          <w:sz w:val="24"/>
          <w:szCs w:val="24"/>
        </w:rPr>
        <w:t>课程目标</w:t>
      </w:r>
      <w:r>
        <w:rPr>
          <w:rFonts w:hint="eastAsia" w:ascii="宋体" w:hAnsi="宋体"/>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hint="eastAsia" w:ascii="宋体" w:hAnsi="宋体"/>
          <w:color w:val="000000"/>
          <w:sz w:val="28"/>
          <w:szCs w:val="28"/>
        </w:rPr>
        <w:t>教育</w:t>
      </w:r>
      <w:r>
        <w:rPr>
          <w:rFonts w:hint="eastAsia" w:ascii="宋体" w:hAnsi="宋体"/>
          <w:color w:val="000000"/>
          <w:sz w:val="24"/>
          <w:szCs w:val="24"/>
        </w:rPr>
        <w:t>融入到课程教学中</w:t>
      </w:r>
      <w:r>
        <w:rPr>
          <w:rFonts w:hint="eastAsia" w:ascii="宋体" w:hAnsi="宋体"/>
          <w:color w:val="000000"/>
          <w:sz w:val="28"/>
          <w:szCs w:val="28"/>
        </w:rPr>
        <w:t>，</w:t>
      </w:r>
      <w:r>
        <w:rPr>
          <w:rFonts w:hint="eastAsia" w:ascii="宋体" w:hAnsi="宋体"/>
          <w:color w:val="000000"/>
          <w:sz w:val="24"/>
          <w:szCs w:val="24"/>
        </w:rPr>
        <w:t>落实立德树人根本任务，</w:t>
      </w:r>
      <w:r>
        <w:rPr>
          <w:rFonts w:hint="eastAsia" w:ascii="宋体" w:hAnsi="宋体" w:cs="宋体"/>
          <w:kern w:val="0"/>
          <w:sz w:val="24"/>
          <w:szCs w:val="24"/>
        </w:rPr>
        <w:t>增长知识见识、培养奋斗精神，提升学生综合素质。</w:t>
      </w:r>
    </w:p>
    <w:p>
      <w:pPr>
        <w:spacing w:line="360" w:lineRule="auto"/>
        <w:ind w:firstLine="482" w:firstLineChars="200"/>
        <w:rPr>
          <w:rFonts w:hint="eastAsia" w:ascii="宋体" w:hAnsi="宋体"/>
          <w:sz w:val="24"/>
        </w:rPr>
      </w:pPr>
      <w:r>
        <w:rPr>
          <w:rFonts w:hint="eastAsia" w:ascii="宋体" w:hAnsi="宋体"/>
          <w:b/>
          <w:bCs/>
          <w:sz w:val="24"/>
          <w:szCs w:val="24"/>
        </w:rPr>
        <w:t>主要内容：</w:t>
      </w:r>
      <w:r>
        <w:rPr>
          <w:rFonts w:hint="eastAsia" w:ascii="宋体" w:hAnsi="宋体"/>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hint="eastAsia" w:ascii="宋体" w:hAnsi="宋体"/>
          <w:sz w:val="24"/>
        </w:rPr>
        <w:t>概念及计算。</w:t>
      </w:r>
    </w:p>
    <w:p>
      <w:pPr>
        <w:spacing w:line="360" w:lineRule="auto"/>
        <w:ind w:firstLine="482" w:firstLineChars="200"/>
        <w:rPr>
          <w:rFonts w:hint="eastAsia" w:ascii="宋体" w:hAnsi="宋体"/>
          <w:sz w:val="24"/>
          <w:szCs w:val="24"/>
        </w:rPr>
      </w:pPr>
      <w:r>
        <w:rPr>
          <w:b/>
          <w:sz w:val="24"/>
        </w:rPr>
        <w:t>教学要求</w:t>
      </w:r>
      <w:r>
        <w:rPr>
          <w:rFonts w:hint="eastAsia"/>
          <w:b/>
          <w:sz w:val="24"/>
        </w:rPr>
        <w:t>：</w:t>
      </w:r>
      <w:r>
        <w:rPr>
          <w:rFonts w:hint="eastAsia" w:ascii="宋体" w:hAnsi="宋体"/>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pPr>
        <w:keepNext w:val="0"/>
        <w:keepLines w:val="0"/>
        <w:pageBreakBefore w:val="0"/>
        <w:widowControl/>
        <w:kinsoku/>
        <w:wordWrap/>
        <w:overflowPunct/>
        <w:topLinePunct w:val="0"/>
        <w:autoSpaceDE/>
        <w:bidi w:val="0"/>
        <w:adjustRightInd/>
        <w:snapToGrid/>
        <w:spacing w:line="360" w:lineRule="auto"/>
        <w:ind w:firstLine="482" w:firstLineChars="200"/>
        <w:jc w:val="left"/>
        <w:textAlignment w:val="auto"/>
        <w:rPr>
          <w:rFonts w:ascii="宋体" w:hAnsi="宋体" w:eastAsia="宋体" w:cs="宋体"/>
          <w:color w:val="FF0000"/>
          <w:kern w:val="0"/>
          <w:sz w:val="24"/>
          <w:szCs w:val="24"/>
        </w:rPr>
      </w:pPr>
      <w:r>
        <w:rPr>
          <w:rFonts w:hint="eastAsia" w:ascii="宋体" w:hAnsi="宋体"/>
          <w:b/>
          <w:sz w:val="24"/>
          <w:lang w:val="en-US" w:eastAsia="zh-CN"/>
        </w:rPr>
        <w:t>2.</w:t>
      </w:r>
      <w:r>
        <w:rPr>
          <w:rFonts w:hint="eastAsia" w:ascii="宋体" w:hAnsi="宋体"/>
          <w:b/>
          <w:sz w:val="24"/>
        </w:rPr>
        <w:t>高职实用英语</w:t>
      </w:r>
    </w:p>
    <w:p>
      <w:pPr>
        <w:widowControl/>
        <w:wordWrap w:val="0"/>
        <w:spacing w:line="360" w:lineRule="auto"/>
        <w:ind w:firstLine="482" w:firstLineChars="200"/>
        <w:jc w:val="left"/>
        <w:rPr>
          <w:rFonts w:hint="eastAsia" w:cs="宋体"/>
          <w:sz w:val="24"/>
        </w:rPr>
      </w:pPr>
      <w:r>
        <w:rPr>
          <w:rFonts w:hint="eastAsia" w:ascii="宋体" w:hAnsi="宋体"/>
          <w:b/>
          <w:bCs/>
          <w:sz w:val="24"/>
          <w:szCs w:val="24"/>
        </w:rPr>
        <w:t>课程目标</w:t>
      </w:r>
      <w:r>
        <w:rPr>
          <w:rFonts w:hint="eastAsia" w:ascii="宋体" w:hAnsi="宋体"/>
          <w:sz w:val="24"/>
          <w:szCs w:val="24"/>
        </w:rPr>
        <w:t>：</w:t>
      </w:r>
      <w:r>
        <w:rPr>
          <w:rFonts w:hint="eastAsia" w:ascii="宋体" w:hAnsi="宋体" w:eastAsia="宋体" w:cs="宋体"/>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hint="eastAsia" w:ascii="宋体" w:hAnsi="宋体" w:cs="宋体"/>
          <w:color w:val="000000"/>
          <w:kern w:val="0"/>
          <w:sz w:val="24"/>
          <w:szCs w:val="24"/>
          <w:lang w:eastAsia="zh-CN"/>
        </w:rPr>
        <w:t>。</w:t>
      </w:r>
      <w:r>
        <w:rPr>
          <w:rFonts w:hint="eastAsia" w:cs="宋体"/>
          <w:sz w:val="24"/>
          <w:lang w:eastAsia="zh-CN"/>
        </w:rPr>
        <w:t>提高学生英语综合应用能力，特别是听说能力，使他们在今后工作和社会交往中能用英语有效地进行口头和书面的信息交流，</w:t>
      </w:r>
      <w:r>
        <w:rPr>
          <w:rFonts w:hint="eastAsia" w:ascii="宋体" w:hAnsi="宋体" w:eastAsia="宋体" w:cs="宋体"/>
          <w:color w:val="000000"/>
          <w:kern w:val="0"/>
          <w:sz w:val="24"/>
          <w:szCs w:val="24"/>
        </w:rPr>
        <w:t>能够借助词典阅读和翻译与专业相关的简单英语资料，以满足学生在今后工作中的需要</w:t>
      </w:r>
      <w:r>
        <w:rPr>
          <w:rFonts w:hint="eastAsia" w:ascii="宋体" w:hAnsi="宋体" w:cs="宋体"/>
          <w:color w:val="000000"/>
          <w:kern w:val="0"/>
          <w:sz w:val="24"/>
          <w:szCs w:val="24"/>
          <w:lang w:eastAsia="zh-CN"/>
        </w:rPr>
        <w:t>，并能够</w:t>
      </w:r>
      <w:r>
        <w:rPr>
          <w:rFonts w:hint="eastAsia" w:cs="宋体"/>
          <w:sz w:val="24"/>
          <w:lang w:eastAsia="zh-CN"/>
        </w:rPr>
        <w:t>增强自主学习能力、提高综合文化素养，以适应我国经济发展和国家交流的需要</w:t>
      </w:r>
      <w:r>
        <w:rPr>
          <w:rFonts w:hint="eastAsia" w:cs="宋体"/>
          <w:sz w:val="24"/>
        </w:rPr>
        <w:t>。</w:t>
      </w:r>
    </w:p>
    <w:p>
      <w:pPr>
        <w:widowControl/>
        <w:wordWrap w:val="0"/>
        <w:spacing w:line="360" w:lineRule="auto"/>
        <w:ind w:firstLine="482" w:firstLineChars="200"/>
        <w:jc w:val="left"/>
        <w:rPr>
          <w:rFonts w:hint="eastAsia" w:ascii="宋体" w:hAnsi="宋体" w:eastAsia="宋体" w:cs="宋体"/>
          <w:color w:val="000000"/>
          <w:kern w:val="0"/>
          <w:sz w:val="24"/>
          <w:szCs w:val="24"/>
          <w:lang w:eastAsia="zh-CN"/>
        </w:rPr>
      </w:pPr>
      <w:r>
        <w:rPr>
          <w:rFonts w:hint="eastAsia" w:ascii="宋体" w:hAnsi="宋体"/>
          <w:b/>
          <w:bCs/>
          <w:sz w:val="24"/>
          <w:szCs w:val="24"/>
        </w:rPr>
        <w:t>主要内容：</w:t>
      </w:r>
      <w:r>
        <w:rPr>
          <w:rFonts w:hint="eastAsia" w:ascii="宋体" w:hAnsi="宋体" w:eastAsia="宋体" w:cs="宋体"/>
          <w:color w:val="000000"/>
          <w:kern w:val="0"/>
          <w:sz w:val="24"/>
          <w:szCs w:val="24"/>
          <w:lang w:eastAsia="zh-CN"/>
        </w:rPr>
        <w:t>本</w:t>
      </w:r>
      <w:r>
        <w:rPr>
          <w:rFonts w:hint="eastAsia" w:ascii="宋体" w:hAnsi="宋体" w:eastAsia="宋体" w:cs="宋体"/>
          <w:color w:val="000000"/>
          <w:kern w:val="0"/>
          <w:sz w:val="24"/>
          <w:szCs w:val="24"/>
        </w:rPr>
        <w:t>课程是为我院高职学生开设的</w:t>
      </w:r>
      <w:r>
        <w:rPr>
          <w:rFonts w:hint="eastAsia" w:ascii="宋体" w:hAnsi="宋体" w:eastAsia="宋体" w:cs="宋体"/>
          <w:color w:val="000000"/>
          <w:kern w:val="0"/>
          <w:sz w:val="24"/>
          <w:szCs w:val="24"/>
          <w:lang w:eastAsia="zh-CN"/>
        </w:rPr>
        <w:t>一门</w:t>
      </w:r>
      <w:r>
        <w:rPr>
          <w:rFonts w:hint="eastAsia" w:ascii="宋体" w:hAnsi="宋体" w:eastAsia="宋体" w:cs="宋体"/>
          <w:color w:val="000000"/>
          <w:kern w:val="0"/>
          <w:sz w:val="24"/>
          <w:szCs w:val="24"/>
        </w:rPr>
        <w:t>公共基础课，是各个专业的专业英语课程的基础课程，也是培养学生人文素质的一门必修课程。</w:t>
      </w:r>
      <w:r>
        <w:rPr>
          <w:rFonts w:hint="eastAsia" w:ascii="宋体" w:hAnsi="宋体" w:eastAsia="宋体" w:cs="宋体"/>
          <w:color w:val="000000"/>
          <w:kern w:val="0"/>
          <w:sz w:val="24"/>
          <w:szCs w:val="24"/>
          <w:lang w:eastAsia="zh-CN"/>
        </w:rPr>
        <w:t>它围绕问候、致谢和道歉、</w:t>
      </w:r>
      <w:r>
        <w:rPr>
          <w:rFonts w:hint="eastAsia" w:ascii="宋体" w:hAnsi="宋体" w:cs="宋体"/>
          <w:color w:val="000000"/>
          <w:kern w:val="0"/>
          <w:sz w:val="24"/>
          <w:szCs w:val="24"/>
          <w:lang w:val="en-US" w:eastAsia="zh-CN"/>
        </w:rPr>
        <w:t>问路及指路、</w:t>
      </w:r>
      <w:r>
        <w:rPr>
          <w:rFonts w:hint="eastAsia" w:ascii="宋体" w:hAnsi="宋体" w:eastAsia="宋体" w:cs="宋体"/>
          <w:color w:val="000000"/>
          <w:kern w:val="0"/>
          <w:sz w:val="24"/>
          <w:szCs w:val="24"/>
          <w:lang w:eastAsia="zh-CN"/>
        </w:rPr>
        <w:t>守时</w:t>
      </w:r>
      <w:r>
        <w:rPr>
          <w:rFonts w:hint="eastAsia" w:ascii="宋体" w:hAnsi="宋体" w:cs="宋体"/>
          <w:color w:val="000000"/>
          <w:kern w:val="0"/>
          <w:sz w:val="24"/>
          <w:szCs w:val="24"/>
          <w:lang w:eastAsia="zh-CN"/>
        </w:rPr>
        <w:t>与约定</w:t>
      </w:r>
      <w:r>
        <w:rPr>
          <w:rFonts w:hint="eastAsia" w:ascii="宋体" w:hAnsi="宋体" w:eastAsia="宋体" w:cs="宋体"/>
          <w:color w:val="000000"/>
          <w:kern w:val="0"/>
          <w:sz w:val="24"/>
          <w:szCs w:val="24"/>
          <w:lang w:eastAsia="zh-CN"/>
        </w:rPr>
        <w:t>、谈论天气、体育爱好、假日庆祝、</w:t>
      </w:r>
      <w:r>
        <w:rPr>
          <w:rFonts w:hint="eastAsia" w:ascii="宋体" w:hAnsi="宋体" w:cs="宋体"/>
          <w:color w:val="000000"/>
          <w:kern w:val="0"/>
          <w:sz w:val="24"/>
          <w:szCs w:val="24"/>
          <w:lang w:eastAsia="zh-CN"/>
        </w:rPr>
        <w:t>健康与锻炼</w:t>
      </w:r>
      <w:r>
        <w:rPr>
          <w:rFonts w:hint="eastAsia" w:ascii="宋体" w:hAnsi="宋体" w:eastAsia="宋体" w:cs="宋体"/>
          <w:color w:val="000000"/>
          <w:kern w:val="0"/>
          <w:sz w:val="24"/>
          <w:szCs w:val="24"/>
          <w:lang w:eastAsia="zh-CN"/>
        </w:rPr>
        <w:t>等主题展开听说读写译五个方面的技能培养。</w:t>
      </w:r>
    </w:p>
    <w:p>
      <w:pPr>
        <w:spacing w:line="360" w:lineRule="auto"/>
        <w:ind w:firstLine="458" w:firstLineChars="190"/>
        <w:jc w:val="left"/>
        <w:rPr>
          <w:rFonts w:hint="eastAsia" w:ascii="宋体" w:eastAsia="宋体"/>
          <w:sz w:val="24"/>
          <w:lang w:val="en-US" w:eastAsia="zh-CN"/>
        </w:rPr>
      </w:pPr>
      <w:r>
        <w:rPr>
          <w:b/>
          <w:sz w:val="24"/>
        </w:rPr>
        <w:t>教学要求</w:t>
      </w:r>
      <w:r>
        <w:rPr>
          <w:rFonts w:hint="eastAsia"/>
          <w:b/>
          <w:sz w:val="24"/>
        </w:rPr>
        <w:t>：</w:t>
      </w:r>
      <w:r>
        <w:rPr>
          <w:rFonts w:hint="eastAsia" w:ascii="宋体"/>
          <w:sz w:val="24"/>
          <w:lang w:val="en-US" w:eastAsia="zh-CN"/>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pPr>
        <w:keepNext w:val="0"/>
        <w:keepLines w:val="0"/>
        <w:pageBreakBefore w:val="0"/>
        <w:widowControl/>
        <w:numPr>
          <w:ilvl w:val="0"/>
          <w:numId w:val="0"/>
        </w:numPr>
        <w:kinsoku/>
        <w:wordWrap/>
        <w:overflowPunct/>
        <w:topLinePunct w:val="0"/>
        <w:autoSpaceDE/>
        <w:bidi w:val="0"/>
        <w:adjustRightInd/>
        <w:snapToGrid/>
        <w:spacing w:line="360" w:lineRule="auto"/>
        <w:ind w:firstLine="482" w:firstLineChars="200"/>
        <w:jc w:val="left"/>
        <w:textAlignment w:val="auto"/>
        <w:rPr>
          <w:rFonts w:hint="eastAsia" w:ascii="宋体" w:hAnsi="宋体"/>
          <w:b/>
          <w:sz w:val="24"/>
          <w:szCs w:val="24"/>
          <w:lang w:eastAsia="zh-CN"/>
        </w:rPr>
      </w:pPr>
      <w:r>
        <w:rPr>
          <w:rFonts w:hint="eastAsia" w:ascii="宋体" w:hAnsi="宋体"/>
          <w:b/>
          <w:sz w:val="24"/>
          <w:szCs w:val="24"/>
          <w:lang w:val="en-US" w:eastAsia="zh-CN"/>
        </w:rPr>
        <w:t>3.</w:t>
      </w:r>
      <w:r>
        <w:rPr>
          <w:rFonts w:hint="eastAsia" w:ascii="宋体" w:hAnsi="宋体"/>
          <w:b/>
          <w:sz w:val="24"/>
          <w:szCs w:val="24"/>
          <w:lang w:eastAsia="zh-CN"/>
        </w:rPr>
        <w:t>思想道德修养与法律基础</w:t>
      </w:r>
    </w:p>
    <w:p>
      <w:pPr>
        <w:spacing w:line="360" w:lineRule="auto"/>
        <w:ind w:firstLine="458" w:firstLineChars="190"/>
        <w:jc w:val="left"/>
        <w:rPr>
          <w:rFonts w:hint="eastAsia" w:ascii="宋体"/>
          <w:sz w:val="24"/>
          <w:lang w:val="en-US" w:eastAsia="zh-CN"/>
        </w:rPr>
      </w:pPr>
      <w:r>
        <w:rPr>
          <w:rFonts w:hint="eastAsia" w:ascii="宋体"/>
          <w:b/>
          <w:bCs/>
          <w:sz w:val="24"/>
          <w:lang w:val="en-US" w:eastAsia="zh-CN"/>
        </w:rPr>
        <w:t>课程目标：</w:t>
      </w:r>
      <w:r>
        <w:rPr>
          <w:rFonts w:hint="eastAsia" w:ascii="宋体"/>
          <w:sz w:val="24"/>
          <w:lang w:val="en-US" w:eastAsia="zh-CN"/>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pPr>
        <w:spacing w:line="360" w:lineRule="auto"/>
        <w:ind w:firstLine="458" w:firstLineChars="190"/>
        <w:jc w:val="left"/>
        <w:rPr>
          <w:rFonts w:hint="eastAsia" w:ascii="宋体"/>
          <w:sz w:val="24"/>
          <w:lang w:val="en-US" w:eastAsia="zh-CN"/>
        </w:rPr>
      </w:pPr>
      <w:r>
        <w:rPr>
          <w:rFonts w:hint="eastAsia" w:ascii="宋体"/>
          <w:b/>
          <w:bCs/>
          <w:sz w:val="24"/>
          <w:lang w:val="en-US" w:eastAsia="zh-CN"/>
        </w:rPr>
        <w:t>主要内容：</w:t>
      </w:r>
      <w:r>
        <w:rPr>
          <w:rFonts w:hint="eastAsia" w:ascii="宋体"/>
          <w:sz w:val="24"/>
          <w:lang w:val="en-US" w:eastAsia="zh-CN"/>
        </w:rPr>
        <w:t>领悟人生真谛，把握人生方向；追求远大理想，坚定崇高信念；继承优良传统，弘扬中国精神；明确价值要求，践行价值准则遵守道德规范，锤炼道德品格；学习法治思想，提升法治素养。</w:t>
      </w:r>
    </w:p>
    <w:p>
      <w:pPr>
        <w:spacing w:line="360" w:lineRule="auto"/>
        <w:ind w:firstLine="458" w:firstLineChars="190"/>
        <w:jc w:val="left"/>
        <w:rPr>
          <w:rFonts w:hint="eastAsia" w:ascii="宋体"/>
          <w:sz w:val="24"/>
          <w:lang w:val="en-US" w:eastAsia="zh-CN"/>
        </w:rPr>
      </w:pPr>
      <w:r>
        <w:rPr>
          <w:rFonts w:hint="eastAsia" w:ascii="宋体"/>
          <w:b/>
          <w:bCs/>
          <w:sz w:val="24"/>
          <w:lang w:val="en-US" w:eastAsia="zh-CN"/>
        </w:rPr>
        <w:t>教学要求：</w:t>
      </w:r>
      <w:r>
        <w:rPr>
          <w:rFonts w:hint="eastAsia" w:ascii="宋体"/>
          <w:sz w:val="24"/>
          <w:lang w:val="en-US" w:eastAsia="zh-CN"/>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b/>
          <w:sz w:val="24"/>
          <w:szCs w:val="24"/>
          <w:lang w:eastAsia="zh-CN"/>
        </w:rPr>
      </w:pPr>
      <w:r>
        <w:rPr>
          <w:rFonts w:hint="eastAsia" w:ascii="宋体" w:hAnsi="宋体"/>
          <w:b/>
          <w:sz w:val="24"/>
          <w:szCs w:val="24"/>
          <w:lang w:val="en-US" w:eastAsia="zh-CN"/>
        </w:rPr>
        <w:t>4.</w:t>
      </w:r>
      <w:r>
        <w:rPr>
          <w:rFonts w:hint="eastAsia" w:ascii="宋体" w:hAnsi="宋体"/>
          <w:b/>
          <w:sz w:val="24"/>
          <w:szCs w:val="24"/>
          <w:lang w:eastAsia="zh-CN"/>
        </w:rPr>
        <w:t>毛泽东思想和中国特色社会主义理论体系概论</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sz w:val="24"/>
        </w:rPr>
      </w:pPr>
      <w:r>
        <w:rPr>
          <w:rFonts w:hint="eastAsia" w:ascii="宋体" w:hAnsi="宋体"/>
          <w:b/>
          <w:sz w:val="24"/>
        </w:rPr>
        <w:t>课程目标：</w:t>
      </w:r>
      <w:r>
        <w:rPr>
          <w:rFonts w:hint="eastAsia" w:ascii="宋体" w:hAnsi="宋体"/>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ascii="宋体" w:hAnsi="宋体"/>
          <w:sz w:val="24"/>
        </w:rPr>
      </w:pPr>
      <w:r>
        <w:rPr>
          <w:rFonts w:hint="eastAsia" w:ascii="宋体" w:hAnsi="宋体"/>
          <w:b/>
          <w:sz w:val="24"/>
        </w:rPr>
        <w:t>主要内容：</w:t>
      </w:r>
      <w:r>
        <w:rPr>
          <w:rFonts w:hint="eastAsia" w:ascii="宋体" w:hAnsi="宋体"/>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宋体" w:hAnsi="宋体"/>
          <w:sz w:val="24"/>
        </w:rPr>
      </w:pPr>
      <w:r>
        <w:rPr>
          <w:rFonts w:hint="eastAsia" w:ascii="宋体" w:hAnsi="宋体"/>
          <w:b/>
          <w:sz w:val="24"/>
        </w:rPr>
        <w:t>教学要求：</w:t>
      </w:r>
      <w:r>
        <w:rPr>
          <w:rFonts w:hint="eastAsia" w:ascii="宋体" w:hAnsi="宋体"/>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hint="eastAsia" w:ascii="宋体" w:hAnsi="宋体" w:cs="宋体"/>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hint="eastAsia" w:ascii="宋体" w:hAnsi="宋体"/>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pPr>
        <w:widowControl/>
        <w:spacing w:line="360" w:lineRule="auto"/>
        <w:ind w:firstLine="482" w:firstLineChars="200"/>
        <w:jc w:val="left"/>
        <w:rPr>
          <w:rFonts w:hint="eastAsia" w:ascii="宋体" w:hAnsi="宋体"/>
          <w:b/>
          <w:sz w:val="24"/>
        </w:rPr>
      </w:pPr>
      <w:r>
        <w:rPr>
          <w:rFonts w:hint="eastAsia" w:ascii="宋体" w:hAnsi="宋体"/>
          <w:b/>
          <w:sz w:val="24"/>
        </w:rPr>
        <w:t>5.大学生心理健康教育</w:t>
      </w:r>
    </w:p>
    <w:p>
      <w:pPr>
        <w:spacing w:line="360" w:lineRule="auto"/>
        <w:ind w:firstLine="482" w:firstLineChars="200"/>
        <w:rPr>
          <w:rFonts w:ascii="宋体" w:hAnsi="宋体"/>
          <w:sz w:val="24"/>
        </w:rPr>
      </w:pPr>
      <w:r>
        <w:rPr>
          <w:rFonts w:hint="eastAsia" w:ascii="宋体" w:hAnsi="宋体"/>
          <w:b/>
          <w:sz w:val="24"/>
        </w:rPr>
        <w:t>课程目标：</w:t>
      </w:r>
      <w:r>
        <w:rPr>
          <w:rFonts w:hint="eastAsia" w:ascii="宋体" w:hAnsi="宋体"/>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pPr>
        <w:spacing w:line="360" w:lineRule="auto"/>
        <w:ind w:firstLine="482" w:firstLineChars="200"/>
        <w:rPr>
          <w:rFonts w:ascii="宋体" w:hAnsi="宋体"/>
          <w:sz w:val="24"/>
        </w:rPr>
      </w:pPr>
      <w:r>
        <w:rPr>
          <w:rFonts w:hint="eastAsia" w:ascii="宋体" w:hAnsi="宋体"/>
          <w:b/>
          <w:sz w:val="24"/>
        </w:rPr>
        <w:t>主要内容：</w:t>
      </w:r>
      <w:r>
        <w:rPr>
          <w:rFonts w:hint="eastAsia" w:ascii="宋体" w:hAnsi="宋体"/>
          <w:sz w:val="24"/>
        </w:rPr>
        <w:t>本课程围绕</w:t>
      </w:r>
      <w:r>
        <w:rPr>
          <w:rFonts w:ascii="宋体" w:hAnsi="宋体"/>
          <w:sz w:val="24"/>
        </w:rPr>
        <w:t>了解心理健康的基础知识</w:t>
      </w:r>
      <w:r>
        <w:rPr>
          <w:rFonts w:hint="eastAsia" w:ascii="宋体" w:hAnsi="宋体"/>
          <w:sz w:val="24"/>
        </w:rPr>
        <w:t>、</w:t>
      </w:r>
      <w:r>
        <w:rPr>
          <w:rFonts w:ascii="宋体" w:hAnsi="宋体"/>
          <w:sz w:val="24"/>
        </w:rPr>
        <w:t>了解自我</w:t>
      </w:r>
      <w:r>
        <w:rPr>
          <w:rFonts w:hint="eastAsia" w:ascii="宋体" w:hAnsi="宋体"/>
          <w:sz w:val="24"/>
        </w:rPr>
        <w:t>与</w:t>
      </w:r>
      <w:r>
        <w:rPr>
          <w:rFonts w:ascii="宋体" w:hAnsi="宋体"/>
          <w:sz w:val="24"/>
        </w:rPr>
        <w:t>发展自我</w:t>
      </w:r>
      <w:r>
        <w:rPr>
          <w:rFonts w:hint="eastAsia" w:ascii="宋体" w:hAnsi="宋体"/>
          <w:sz w:val="24"/>
        </w:rPr>
        <w:t>、</w:t>
      </w:r>
      <w:r>
        <w:rPr>
          <w:rFonts w:ascii="宋体" w:hAnsi="宋体"/>
          <w:sz w:val="24"/>
        </w:rPr>
        <w:t>提高自我心理调适能力</w:t>
      </w:r>
      <w:r>
        <w:rPr>
          <w:rFonts w:hint="eastAsia" w:ascii="宋体" w:hAnsi="宋体"/>
          <w:sz w:val="24"/>
        </w:rPr>
        <w:t>等三大部分，通过</w:t>
      </w:r>
      <w:r>
        <w:rPr>
          <w:rFonts w:ascii="宋体" w:hAnsi="宋体"/>
          <w:sz w:val="24"/>
        </w:rPr>
        <w:t>大学生心理健康导论</w:t>
      </w:r>
      <w:r>
        <w:rPr>
          <w:rFonts w:hint="eastAsia" w:ascii="宋体" w:hAnsi="宋体"/>
          <w:sz w:val="24"/>
        </w:rPr>
        <w:t>、</w:t>
      </w:r>
      <w:r>
        <w:rPr>
          <w:rFonts w:ascii="宋体" w:hAnsi="宋体"/>
          <w:sz w:val="24"/>
        </w:rPr>
        <w:t>自我意识与培养</w:t>
      </w:r>
      <w:r>
        <w:rPr>
          <w:rFonts w:hint="eastAsia" w:ascii="宋体" w:hAnsi="宋体"/>
          <w:sz w:val="24"/>
        </w:rPr>
        <w:t>、</w:t>
      </w:r>
      <w:r>
        <w:rPr>
          <w:rFonts w:ascii="宋体" w:hAnsi="宋体"/>
          <w:sz w:val="24"/>
        </w:rPr>
        <w:t>人格发展与心理健康</w:t>
      </w:r>
      <w:r>
        <w:rPr>
          <w:rFonts w:hint="eastAsia" w:ascii="宋体" w:hAnsi="宋体"/>
          <w:sz w:val="24"/>
        </w:rPr>
        <w:t>、</w:t>
      </w:r>
      <w:r>
        <w:rPr>
          <w:rFonts w:ascii="宋体" w:hAnsi="宋体"/>
          <w:sz w:val="24"/>
        </w:rPr>
        <w:t>学习心理</w:t>
      </w:r>
      <w:r>
        <w:rPr>
          <w:rFonts w:hint="eastAsia" w:ascii="宋体" w:hAnsi="宋体"/>
          <w:sz w:val="24"/>
        </w:rPr>
        <w:t>、</w:t>
      </w:r>
      <w:r>
        <w:rPr>
          <w:rFonts w:ascii="宋体" w:hAnsi="宋体"/>
          <w:sz w:val="24"/>
        </w:rPr>
        <w:t>情绪管理</w:t>
      </w:r>
      <w:r>
        <w:rPr>
          <w:rFonts w:hint="eastAsia" w:ascii="宋体" w:hAnsi="宋体"/>
          <w:sz w:val="24"/>
        </w:rPr>
        <w:t>、</w:t>
      </w:r>
      <w:r>
        <w:rPr>
          <w:rFonts w:ascii="宋体" w:hAnsi="宋体"/>
          <w:sz w:val="24"/>
        </w:rPr>
        <w:t>人际交往</w:t>
      </w:r>
      <w:r>
        <w:rPr>
          <w:rFonts w:hint="eastAsia" w:ascii="宋体" w:hAnsi="宋体"/>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pPr>
        <w:spacing w:line="360" w:lineRule="auto"/>
        <w:ind w:firstLine="482" w:firstLineChars="200"/>
        <w:rPr>
          <w:rFonts w:hint="eastAsia" w:ascii="宋体" w:hAnsi="宋体"/>
          <w:sz w:val="24"/>
        </w:rPr>
      </w:pPr>
      <w:r>
        <w:rPr>
          <w:rFonts w:hint="eastAsia" w:ascii="宋体" w:hAnsi="宋体"/>
          <w:b/>
          <w:sz w:val="24"/>
        </w:rPr>
        <w:t>教学要求：</w:t>
      </w:r>
      <w:r>
        <w:rPr>
          <w:rFonts w:hint="eastAsia" w:ascii="宋体" w:hAnsi="宋体"/>
          <w:sz w:val="24"/>
        </w:rPr>
        <w:t>本</w:t>
      </w:r>
      <w:r>
        <w:rPr>
          <w:rFonts w:ascii="宋体" w:hAnsi="宋体"/>
          <w:sz w:val="24"/>
        </w:rPr>
        <w:t>课程是集知识、体验和训练为一体的综合课程</w:t>
      </w:r>
      <w:r>
        <w:rPr>
          <w:rFonts w:hint="eastAsia" w:ascii="宋体" w:hAnsi="宋体"/>
          <w:sz w:val="24"/>
        </w:rPr>
        <w:t>，</w:t>
      </w:r>
      <w:r>
        <w:rPr>
          <w:rFonts w:ascii="宋体" w:hAnsi="宋体"/>
          <w:sz w:val="24"/>
        </w:rPr>
        <w:t>课程</w:t>
      </w:r>
      <w:r>
        <w:rPr>
          <w:rFonts w:hint="eastAsia" w:ascii="宋体" w:hAnsi="宋体"/>
          <w:sz w:val="24"/>
        </w:rPr>
        <w:t>教学中</w:t>
      </w:r>
      <w:r>
        <w:rPr>
          <w:rFonts w:ascii="宋体" w:hAnsi="宋体"/>
          <w:sz w:val="24"/>
        </w:rPr>
        <w:t>要注重理论联系实际，注重培养学生实际应用能力</w:t>
      </w:r>
      <w:r>
        <w:rPr>
          <w:rFonts w:hint="eastAsia" w:ascii="宋体" w:hAnsi="宋体"/>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hint="eastAsia" w:ascii="宋体" w:hAnsi="宋体"/>
          <w:sz w:val="24"/>
        </w:rPr>
        <w:t>，积极应用“互联网 +”平台和手段，提升教学效果。</w:t>
      </w:r>
    </w:p>
    <w:p>
      <w:pPr>
        <w:spacing w:line="360" w:lineRule="auto"/>
        <w:ind w:firstLine="480" w:firstLineChars="200"/>
        <w:rPr>
          <w:rFonts w:hint="eastAsia" w:ascii="宋体" w:hAnsi="宋体"/>
          <w:sz w:val="24"/>
        </w:rPr>
      </w:pPr>
    </w:p>
    <w:p>
      <w:pPr>
        <w:numPr>
          <w:ilvl w:val="0"/>
          <w:numId w:val="1"/>
        </w:numPr>
        <w:spacing w:line="360" w:lineRule="auto"/>
        <w:ind w:left="420" w:leftChars="200"/>
        <w:rPr>
          <w:rFonts w:hint="eastAsia" w:ascii="宋体" w:hAnsi="宋体"/>
          <w:b/>
          <w:sz w:val="24"/>
        </w:rPr>
      </w:pPr>
      <w:r>
        <w:rPr>
          <w:rFonts w:hint="eastAsia" w:ascii="宋体" w:hAnsi="宋体"/>
          <w:b/>
          <w:sz w:val="24"/>
        </w:rPr>
        <w:t>形势与政策</w:t>
      </w:r>
    </w:p>
    <w:p>
      <w:pPr>
        <w:pStyle w:val="9"/>
        <w:spacing w:beforeAutospacing="0" w:afterAutospacing="0" w:line="360" w:lineRule="auto"/>
        <w:ind w:firstLine="482" w:firstLineChars="200"/>
        <w:rPr>
          <w:rStyle w:val="15"/>
        </w:rPr>
      </w:pPr>
      <w:r>
        <w:rPr>
          <w:rStyle w:val="15"/>
          <w:rFonts w:hint="eastAsia"/>
        </w:rPr>
        <w:t>课程目标</w:t>
      </w:r>
      <w:r>
        <w:rPr>
          <w:rStyle w:val="15"/>
        </w:rPr>
        <w:t>:</w:t>
      </w:r>
      <w:r>
        <w:t>本课程以</w:t>
      </w:r>
      <w:r>
        <w:rPr>
          <w:rFonts w:hint="eastAsia"/>
        </w:rPr>
        <w:t>马克思列宁</w:t>
      </w:r>
      <w:r>
        <w:t>主义、毛泽东思想和中国特色社会主义理论为指导，紧密结合国际形势，特别是我国改革开放和社会主义现代化建设的形势，进行马克思主义形势观、政策观教育。要求</w:t>
      </w:r>
      <w:r>
        <w:rPr>
          <w:rFonts w:hint="eastAsia"/>
        </w:rPr>
        <w:t>青年大</w:t>
      </w:r>
      <w:r>
        <w:t>学生能够了解</w:t>
      </w:r>
      <w:r>
        <w:rPr>
          <w:rFonts w:hint="eastAsia"/>
        </w:rPr>
        <w:t>当前</w:t>
      </w:r>
      <w: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pPr>
        <w:pStyle w:val="9"/>
        <w:spacing w:beforeAutospacing="0" w:afterAutospacing="0" w:line="360" w:lineRule="auto"/>
        <w:ind w:firstLine="482" w:firstLineChars="200"/>
      </w:pPr>
      <w:r>
        <w:rPr>
          <w:rStyle w:val="15"/>
          <w:rFonts w:hint="eastAsia"/>
        </w:rPr>
        <w:t>教学内容</w:t>
      </w:r>
      <w:r>
        <w:rPr>
          <w:rStyle w:val="15"/>
        </w:rPr>
        <w:t>:</w:t>
      </w:r>
      <w:r>
        <w:rPr>
          <w:rFonts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pPr>
        <w:pStyle w:val="9"/>
        <w:spacing w:beforeAutospacing="0" w:afterAutospacing="0" w:line="360" w:lineRule="auto"/>
        <w:ind w:firstLine="482" w:firstLineChars="200"/>
        <w:rPr>
          <w:rFonts w:hint="eastAsia"/>
        </w:rPr>
      </w:pPr>
      <w:r>
        <w:rPr>
          <w:rStyle w:val="15"/>
          <w:rFonts w:hint="eastAsia"/>
        </w:rPr>
        <w:t>教学要求</w:t>
      </w:r>
      <w:r>
        <w:rPr>
          <w:rStyle w:val="15"/>
        </w:rPr>
        <w:t>:</w:t>
      </w:r>
      <w:r>
        <w:rPr>
          <w:rFonts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p>
    <w:p>
      <w:pPr>
        <w:pStyle w:val="9"/>
        <w:spacing w:beforeAutospacing="0" w:afterAutospacing="0" w:line="360" w:lineRule="auto"/>
        <w:ind w:firstLine="480" w:firstLineChars="200"/>
        <w:rPr>
          <w:rFonts w:hint="eastAsia"/>
        </w:rPr>
      </w:pPr>
    </w:p>
    <w:p>
      <w:pPr>
        <w:pStyle w:val="9"/>
        <w:numPr>
          <w:ilvl w:val="0"/>
          <w:numId w:val="1"/>
        </w:numPr>
        <w:spacing w:before="0" w:beforeAutospacing="0" w:after="0" w:afterAutospacing="0" w:line="360" w:lineRule="auto"/>
        <w:ind w:left="420" w:leftChars="200"/>
        <w:rPr>
          <w:b/>
          <w:bCs/>
        </w:rPr>
      </w:pPr>
      <w:r>
        <w:rPr>
          <w:b/>
          <w:bCs/>
        </w:rPr>
        <w:t>高职体育</w:t>
      </w:r>
    </w:p>
    <w:p>
      <w:pPr>
        <w:pStyle w:val="9"/>
        <w:spacing w:beforeAutospacing="0" w:afterAutospacing="0" w:line="360" w:lineRule="auto"/>
        <w:ind w:firstLine="482" w:firstLineChars="200"/>
        <w:rPr>
          <w:rFonts w:hint="eastAsia"/>
          <w:color w:val="000000"/>
        </w:rPr>
      </w:pPr>
      <w:r>
        <w:rPr>
          <w:rFonts w:hint="eastAsia"/>
          <w:b/>
          <w:bCs/>
          <w:color w:val="000000"/>
        </w:rPr>
        <w:t>课程目标：</w:t>
      </w:r>
      <w:r>
        <w:rPr>
          <w:rFonts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pPr>
        <w:autoSpaceDN w:val="0"/>
        <w:spacing w:line="360" w:lineRule="auto"/>
        <w:ind w:firstLine="482" w:firstLineChars="200"/>
        <w:jc w:val="left"/>
        <w:rPr>
          <w:rFonts w:ascii="宋体" w:hAnsi="宋体"/>
          <w:b/>
          <w:sz w:val="24"/>
        </w:rPr>
      </w:pPr>
      <w:r>
        <w:rPr>
          <w:rFonts w:hint="eastAsia" w:ascii="宋体" w:hAnsi="宋体"/>
          <w:b/>
          <w:sz w:val="24"/>
        </w:rPr>
        <w:t>主要内容：</w:t>
      </w:r>
      <w:r>
        <w:rPr>
          <w:rFonts w:hint="eastAsia" w:ascii="宋体" w:hAnsi="宋体"/>
          <w:sz w:val="24"/>
        </w:rPr>
        <w:t>本课程分普修课、专项课和俱乐部三个阶段。学生通过身体素质练习、体测项目测试、专项课程及课外锻炼，</w:t>
      </w:r>
      <w:r>
        <w:rPr>
          <w:rFonts w:ascii="宋体" w:hAnsi="宋体"/>
          <w:color w:val="000000"/>
          <w:sz w:val="24"/>
        </w:rPr>
        <w:t>获得运动基础知识</w:t>
      </w:r>
      <w:r>
        <w:rPr>
          <w:rFonts w:hint="eastAsia" w:ascii="宋体" w:hAnsi="宋体"/>
          <w:color w:val="000000"/>
          <w:sz w:val="24"/>
        </w:rPr>
        <w:t>，</w:t>
      </w:r>
      <w:r>
        <w:rPr>
          <w:rFonts w:ascii="宋体" w:hAnsi="宋体"/>
          <w:color w:val="000000"/>
          <w:sz w:val="24"/>
        </w:rPr>
        <w:t>学习和应用运动技能</w:t>
      </w:r>
      <w:r>
        <w:rPr>
          <w:rFonts w:hint="eastAsia" w:ascii="宋体" w:hAnsi="宋体"/>
          <w:color w:val="000000"/>
          <w:sz w:val="24"/>
        </w:rPr>
        <w:t>，能够</w:t>
      </w:r>
      <w:r>
        <w:rPr>
          <w:rFonts w:ascii="宋体" w:hAnsi="宋体"/>
          <w:color w:val="000000"/>
          <w:sz w:val="24"/>
        </w:rPr>
        <w:t>安全地进行体育活动</w:t>
      </w:r>
      <w:r>
        <w:rPr>
          <w:rFonts w:hint="eastAsia" w:ascii="宋体" w:hAnsi="宋体"/>
          <w:color w:val="000000"/>
          <w:sz w:val="24"/>
        </w:rPr>
        <w:t>，能够</w:t>
      </w:r>
      <w:r>
        <w:rPr>
          <w:rFonts w:ascii="宋体" w:hAnsi="宋体"/>
          <w:color w:val="000000"/>
          <w:sz w:val="24"/>
        </w:rPr>
        <w:t>获取现代社会中体育与健康知识的方法</w:t>
      </w:r>
      <w:r>
        <w:rPr>
          <w:rFonts w:hint="eastAsia" w:ascii="宋体" w:hAnsi="宋体"/>
          <w:sz w:val="24"/>
        </w:rPr>
        <w:t>。</w:t>
      </w:r>
    </w:p>
    <w:p>
      <w:pPr>
        <w:autoSpaceDN w:val="0"/>
        <w:spacing w:line="360" w:lineRule="auto"/>
        <w:ind w:firstLine="482" w:firstLineChars="200"/>
        <w:jc w:val="left"/>
        <w:rPr>
          <w:rFonts w:hint="eastAsia" w:ascii="宋体" w:hAnsi="宋体"/>
          <w:sz w:val="24"/>
        </w:rPr>
      </w:pPr>
      <w:r>
        <w:rPr>
          <w:rFonts w:hint="eastAsia" w:ascii="宋体" w:hAnsi="宋体"/>
          <w:b/>
          <w:bCs/>
          <w:sz w:val="24"/>
        </w:rPr>
        <w:t>教学要求：</w:t>
      </w:r>
      <w:r>
        <w:rPr>
          <w:rFonts w:hint="eastAsia" w:ascii="宋体" w:hAnsi="宋体"/>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pPr>
        <w:pStyle w:val="28"/>
        <w:spacing w:line="360" w:lineRule="auto"/>
        <w:ind w:left="419" w:firstLine="0" w:firstLineChars="0"/>
        <w:rPr>
          <w:b/>
          <w:sz w:val="24"/>
          <w:szCs w:val="24"/>
        </w:rPr>
      </w:pPr>
      <w:r>
        <w:rPr>
          <w:rFonts w:hint="eastAsia"/>
          <w:b/>
          <w:sz w:val="24"/>
          <w:szCs w:val="24"/>
        </w:rPr>
        <w:t>8、大学生职业发展与就业指导</w:t>
      </w:r>
    </w:p>
    <w:p>
      <w:pPr>
        <w:spacing w:line="360" w:lineRule="auto"/>
        <w:ind w:firstLine="422" w:firstLineChars="176"/>
        <w:rPr>
          <w:rFonts w:ascii="宋体" w:hAnsi="宋体" w:cs="宋体"/>
          <w:sz w:val="24"/>
        </w:rPr>
      </w:pPr>
      <w:r>
        <w:rPr>
          <w:rFonts w:hint="eastAsia" w:ascii="宋体" w:hAnsi="宋体"/>
          <w:bCs/>
          <w:sz w:val="24"/>
        </w:rPr>
        <w:t>课程目标：</w:t>
      </w:r>
      <w:r>
        <w:rPr>
          <w:rFonts w:ascii="宋体" w:hAnsi="宋体" w:cs="宋体"/>
          <w:sz w:val="24"/>
        </w:rPr>
        <w:t>通过学习，</w:t>
      </w:r>
      <w:r>
        <w:rPr>
          <w:rFonts w:hint="eastAsia" w:ascii="宋体" w:hAnsi="宋体" w:cs="宋体"/>
          <w:sz w:val="24"/>
        </w:rPr>
        <w:t>培养</w:t>
      </w:r>
      <w:r>
        <w:rPr>
          <w:rFonts w:ascii="宋体" w:hAnsi="宋体" w:cs="宋体"/>
          <w:sz w:val="24"/>
        </w:rPr>
        <w:t>学生能够理解职业生涯规划的含义及其意义，了解与职业规划相关的理论。对如何进行职业生涯规划有一</w:t>
      </w:r>
      <w:r>
        <w:rPr>
          <w:rFonts w:hint="eastAsia" w:ascii="宋体" w:hAnsi="宋体" w:cs="宋体"/>
          <w:sz w:val="24"/>
        </w:rPr>
        <w:t>定</w:t>
      </w:r>
      <w:r>
        <w:rPr>
          <w:rFonts w:ascii="宋体" w:hAnsi="宋体" w:cs="宋体"/>
          <w:sz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pPr>
        <w:spacing w:line="360" w:lineRule="auto"/>
        <w:ind w:firstLine="422" w:firstLineChars="176"/>
        <w:rPr>
          <w:rFonts w:ascii="宋体" w:hAnsi="宋体" w:cs="宋体"/>
          <w:sz w:val="24"/>
        </w:rPr>
      </w:pPr>
      <w:r>
        <w:rPr>
          <w:rFonts w:hint="eastAsia" w:ascii="宋体" w:hAnsi="宋体"/>
          <w:bCs/>
          <w:sz w:val="24"/>
        </w:rPr>
        <w:t>主要内容：</w:t>
      </w:r>
      <w:r>
        <w:rPr>
          <w:rFonts w:hint="eastAsia" w:ascii="宋体" w:hAnsi="宋体" w:cs="宋体"/>
          <w:sz w:val="24"/>
        </w:rPr>
        <w:t>该课程</w:t>
      </w:r>
      <w:r>
        <w:rPr>
          <w:rFonts w:ascii="宋体" w:hAnsi="宋体" w:cs="宋体"/>
          <w:sz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hint="eastAsia" w:ascii="宋体" w:hAnsi="宋体" w:cs="宋体"/>
          <w:sz w:val="24"/>
        </w:rPr>
        <w:t xml:space="preserve">   </w:t>
      </w:r>
    </w:p>
    <w:p>
      <w:pPr>
        <w:spacing w:line="360" w:lineRule="auto"/>
        <w:ind w:firstLine="422" w:firstLineChars="176"/>
        <w:rPr>
          <w:rFonts w:ascii="宋体" w:hAnsi="宋体" w:cs="宋体"/>
          <w:sz w:val="24"/>
        </w:rPr>
      </w:pPr>
      <w:r>
        <w:rPr>
          <w:rFonts w:hint="eastAsia" w:ascii="宋体" w:hAnsi="宋体"/>
          <w:bCs/>
          <w:sz w:val="24"/>
        </w:rPr>
        <w:t>教学要求：</w:t>
      </w:r>
      <w:r>
        <w:rPr>
          <w:rFonts w:hint="eastAsia" w:ascii="宋体" w:hAnsi="宋体" w:cs="宋体"/>
          <w:sz w:val="24"/>
        </w:rPr>
        <w:t>通过对该课程的学习使学生</w:t>
      </w:r>
      <w:r>
        <w:rPr>
          <w:rFonts w:ascii="宋体" w:hAnsi="宋体" w:cs="宋体"/>
          <w:sz w:val="24"/>
        </w:rPr>
        <w:t>以</w:t>
      </w:r>
      <w:r>
        <w:fldChar w:fldCharType="begin"/>
      </w:r>
      <w:r>
        <w:instrText xml:space="preserve"> HYPERLINK "https://baike.sogou.com/lemma/ShowInnerLink.htm?lemmaId=300085&amp;ss_c=ssc.citiao.link" \t "_blank" </w:instrText>
      </w:r>
      <w:r>
        <w:fldChar w:fldCharType="separate"/>
      </w:r>
      <w:r>
        <w:rPr>
          <w:rFonts w:ascii="宋体" w:hAnsi="宋体" w:cs="宋体"/>
          <w:sz w:val="24"/>
        </w:rPr>
        <w:t>职业生涯规划</w:t>
      </w:r>
      <w:r>
        <w:rPr>
          <w:rFonts w:ascii="宋体" w:hAnsi="宋体" w:cs="宋体"/>
          <w:sz w:val="24"/>
        </w:rPr>
        <w:fldChar w:fldCharType="end"/>
      </w:r>
      <w:r>
        <w:rPr>
          <w:rFonts w:ascii="宋体" w:hAnsi="宋体" w:cs="宋体"/>
          <w:sz w:val="24"/>
        </w:rPr>
        <w:t>的理论为基础，结合</w:t>
      </w:r>
      <w:r>
        <w:rPr>
          <w:rFonts w:hint="eastAsia" w:ascii="宋体" w:hAnsi="宋体" w:cs="宋体"/>
          <w:sz w:val="24"/>
        </w:rPr>
        <w:t>自身</w:t>
      </w:r>
      <w:r>
        <w:rPr>
          <w:rFonts w:ascii="宋体" w:hAnsi="宋体" w:cs="宋体"/>
          <w:sz w:val="24"/>
        </w:rPr>
        <w:t>的心理特点与需求，联系</w:t>
      </w:r>
      <w:r>
        <w:rPr>
          <w:rFonts w:hint="eastAsia" w:ascii="宋体" w:hAnsi="宋体" w:cs="宋体"/>
          <w:sz w:val="24"/>
        </w:rPr>
        <w:t>自身</w:t>
      </w:r>
      <w:r>
        <w:fldChar w:fldCharType="begin"/>
      </w:r>
      <w:r>
        <w:instrText xml:space="preserve"> HYPERLINK "https://baike.sogou.com/lemma/ShowInnerLink.htm?lemmaId=424718&amp;ss_c=ssc.citiao.link" \t "_blank" </w:instrText>
      </w:r>
      <w:r>
        <w:fldChar w:fldCharType="separate"/>
      </w:r>
      <w:r>
        <w:rPr>
          <w:rFonts w:ascii="宋体" w:hAnsi="宋体" w:cs="宋体"/>
          <w:sz w:val="24"/>
        </w:rPr>
        <w:t>职业生涯</w:t>
      </w:r>
      <w:r>
        <w:rPr>
          <w:rFonts w:ascii="宋体" w:hAnsi="宋体" w:cs="宋体"/>
          <w:sz w:val="24"/>
        </w:rPr>
        <w:fldChar w:fldCharType="end"/>
      </w:r>
      <w:r>
        <w:rPr>
          <w:rFonts w:ascii="宋体" w:hAnsi="宋体" w:cs="宋体"/>
          <w:sz w:val="24"/>
        </w:rPr>
        <w:t>的实际，理解职业生涯规划的科学理念；掌握</w:t>
      </w:r>
      <w:r>
        <w:rPr>
          <w:rFonts w:hint="eastAsia" w:ascii="宋体" w:hAnsi="宋体" w:cs="宋体"/>
          <w:sz w:val="24"/>
        </w:rPr>
        <w:t>并运用</w:t>
      </w:r>
      <w:r>
        <w:rPr>
          <w:rFonts w:ascii="宋体" w:hAnsi="宋体" w:cs="宋体"/>
          <w:sz w:val="24"/>
        </w:rPr>
        <w:t>生涯规划的步骤和方法；学生应在具有必要的基础理论知识和专门知识的基础上，重点掌握从事本专业领域实际工作的基本能力和基本技能，具有良好的职业道德和敬业精神</w:t>
      </w:r>
      <w:r>
        <w:rPr>
          <w:rFonts w:hint="eastAsia" w:ascii="宋体" w:hAnsi="宋体" w:cs="宋体"/>
          <w:sz w:val="24"/>
        </w:rPr>
        <w:t>，</w:t>
      </w:r>
      <w:r>
        <w:rPr>
          <w:rFonts w:ascii="宋体" w:hAnsi="宋体" w:cs="宋体"/>
          <w:sz w:val="24"/>
        </w:rPr>
        <w:t>增强“我的职业我做主”的信心和主动性。</w:t>
      </w:r>
    </w:p>
    <w:p>
      <w:pPr>
        <w:pStyle w:val="28"/>
        <w:spacing w:line="360" w:lineRule="auto"/>
        <w:ind w:left="419" w:firstLine="0" w:firstLineChars="0"/>
        <w:rPr>
          <w:b/>
          <w:sz w:val="24"/>
          <w:szCs w:val="24"/>
        </w:rPr>
      </w:pPr>
      <w:r>
        <w:rPr>
          <w:rFonts w:hint="eastAsia"/>
          <w:b/>
          <w:sz w:val="24"/>
          <w:szCs w:val="24"/>
        </w:rPr>
        <w:t>9、创新创业基础</w:t>
      </w:r>
    </w:p>
    <w:p>
      <w:pPr>
        <w:spacing w:line="360" w:lineRule="auto"/>
        <w:ind w:firstLine="422" w:firstLineChars="176"/>
        <w:rPr>
          <w:rFonts w:ascii="宋体" w:hAnsi="宋体"/>
          <w:sz w:val="24"/>
        </w:rPr>
      </w:pPr>
      <w:r>
        <w:rPr>
          <w:rFonts w:hint="eastAsia" w:ascii="宋体" w:hAnsi="宋体"/>
          <w:bCs/>
          <w:sz w:val="24"/>
        </w:rPr>
        <w:t>课程目标：创</w:t>
      </w:r>
      <w:r>
        <w:rPr>
          <w:rFonts w:hint="eastAsia" w:ascii="宋体" w:hAnsi="宋体"/>
          <w:sz w:val="24"/>
        </w:rPr>
        <w:t>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pPr>
        <w:spacing w:line="360" w:lineRule="auto"/>
        <w:ind w:firstLine="422" w:firstLineChars="176"/>
        <w:rPr>
          <w:rFonts w:ascii="宋体" w:hAnsi="宋体"/>
          <w:sz w:val="24"/>
        </w:rPr>
      </w:pPr>
      <w:r>
        <w:rPr>
          <w:rFonts w:hint="eastAsia" w:ascii="宋体" w:hAnsi="宋体"/>
          <w:bCs/>
          <w:sz w:val="24"/>
        </w:rPr>
        <w:t>主要内容：本</w:t>
      </w:r>
      <w:r>
        <w:rPr>
          <w:rFonts w:hint="eastAsia" w:ascii="宋体" w:hAnsi="宋体"/>
          <w:sz w:val="24"/>
        </w:rPr>
        <w:t>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pPr>
        <w:spacing w:line="360" w:lineRule="auto"/>
        <w:ind w:firstLine="422" w:firstLineChars="176"/>
        <w:rPr>
          <w:rFonts w:ascii="宋体" w:hAnsi="宋体"/>
          <w:sz w:val="24"/>
        </w:rPr>
      </w:pPr>
      <w:r>
        <w:rPr>
          <w:rFonts w:hint="eastAsia" w:ascii="宋体" w:hAnsi="宋体"/>
          <w:bCs/>
          <w:sz w:val="24"/>
        </w:rPr>
        <w:t>教学要求：</w:t>
      </w:r>
      <w:r>
        <w:rPr>
          <w:rFonts w:hint="eastAsia" w:ascii="宋体" w:hAnsi="宋体"/>
          <w:sz w:val="24"/>
        </w:rPr>
        <w:t>学习本课程，重点</w:t>
      </w:r>
      <w:r>
        <w:rPr>
          <w:rFonts w:hint="eastAsia"/>
          <w:sz w:val="24"/>
        </w:rPr>
        <w:t>掌握基本的创新思维，熟悉主要的创新方法，了解新时代热门的新技术。立足本专业，学习专业知识，立志做一个具有工匠精神和创新精神的人——岗位创业者</w:t>
      </w:r>
      <w:r>
        <w:rPr>
          <w:rFonts w:hint="eastAsia" w:ascii="宋体" w:hAnsi="宋体"/>
          <w:sz w:val="24"/>
        </w:rPr>
        <w:t>。</w:t>
      </w:r>
    </w:p>
    <w:p>
      <w:pPr>
        <w:pStyle w:val="28"/>
        <w:spacing w:line="360" w:lineRule="auto"/>
        <w:ind w:left="419" w:firstLine="0" w:firstLineChars="0"/>
        <w:rPr>
          <w:b/>
          <w:sz w:val="24"/>
          <w:szCs w:val="24"/>
        </w:rPr>
      </w:pPr>
      <w:r>
        <w:rPr>
          <w:rFonts w:hint="eastAsia"/>
          <w:b/>
          <w:sz w:val="24"/>
          <w:szCs w:val="24"/>
        </w:rPr>
        <w:t>10、计算机应用基础</w:t>
      </w:r>
    </w:p>
    <w:p>
      <w:pPr>
        <w:spacing w:line="360" w:lineRule="auto"/>
        <w:ind w:firstLine="480" w:firstLineChars="200"/>
        <w:rPr>
          <w:rFonts w:ascii="宋体" w:hAnsi="宋体"/>
          <w:sz w:val="24"/>
        </w:rPr>
      </w:pPr>
      <w:r>
        <w:rPr>
          <w:rFonts w:hint="eastAsia" w:ascii="宋体" w:hAnsi="宋体"/>
          <w:sz w:val="24"/>
        </w:rPr>
        <w:t>课程目标：《计算机应用基础》课程培养学生对计算机软、硬件知识的系统认知，了解计算机的工作原理和计算机网络的基础知识，掌握常用计算机办公软件的使用方法；通过本课程的学习，学生应具备从事办公工作的基本操作技能。</w:t>
      </w:r>
    </w:p>
    <w:p>
      <w:pPr>
        <w:widowControl/>
        <w:spacing w:line="360" w:lineRule="auto"/>
        <w:ind w:firstLine="480" w:firstLineChars="200"/>
        <w:jc w:val="left"/>
        <w:rPr>
          <w:rFonts w:ascii="宋体" w:hAnsi="宋体"/>
          <w:sz w:val="24"/>
        </w:rPr>
      </w:pPr>
      <w:r>
        <w:rPr>
          <w:rFonts w:hint="eastAsia" w:ascii="宋体" w:hAnsi="宋体"/>
          <w:bCs/>
          <w:sz w:val="24"/>
        </w:rPr>
        <w:t>主要内容：本</w:t>
      </w:r>
      <w:r>
        <w:rPr>
          <w:rFonts w:hint="eastAsia" w:ascii="宋体" w:hAnsi="宋体"/>
          <w:sz w:val="24"/>
        </w:rPr>
        <w:t>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oint软件的文稿的建立及制作、演示文稿动画设置方法。</w:t>
      </w:r>
    </w:p>
    <w:p>
      <w:pPr>
        <w:widowControl/>
        <w:spacing w:line="360" w:lineRule="auto"/>
        <w:ind w:firstLine="480" w:firstLineChars="200"/>
        <w:jc w:val="left"/>
        <w:rPr>
          <w:rFonts w:ascii="宋体" w:hAnsi="宋体"/>
          <w:sz w:val="24"/>
        </w:rPr>
      </w:pPr>
      <w:r>
        <w:rPr>
          <w:rFonts w:hint="eastAsia" w:ascii="宋体" w:hAnsi="宋体"/>
          <w:bCs/>
          <w:sz w:val="24"/>
        </w:rPr>
        <w:t>教学要求：</w:t>
      </w:r>
      <w:r>
        <w:rPr>
          <w:rFonts w:hint="eastAsia" w:ascii="宋体" w:hAnsi="宋体"/>
          <w:sz w:val="24"/>
        </w:rPr>
        <w:t>课程教学以培养学生计算机综合应用能力为目标，课堂教学围绕实际的办公案例展开，将具体的案例根据章节知识点进行分解讲授，以教师操作演示为辅，学生模拟训练为主的方式进行教学。</w:t>
      </w:r>
    </w:p>
    <w:p>
      <w:pPr>
        <w:widowControl/>
        <w:numPr>
          <w:ilvl w:val="0"/>
          <w:numId w:val="0"/>
        </w:numPr>
        <w:spacing w:line="360" w:lineRule="auto"/>
        <w:ind w:leftChars="200"/>
        <w:jc w:val="left"/>
        <w:rPr>
          <w:rFonts w:hint="eastAsia" w:asciiTheme="minorEastAsia" w:hAnsiTheme="minorEastAsia"/>
          <w:b/>
          <w:sz w:val="24"/>
          <w:szCs w:val="24"/>
        </w:rPr>
      </w:pPr>
      <w:r>
        <w:rPr>
          <w:rFonts w:hint="eastAsia" w:asciiTheme="minorEastAsia" w:hAnsiTheme="minorEastAsia"/>
          <w:b/>
          <w:sz w:val="24"/>
          <w:szCs w:val="24"/>
          <w:lang w:eastAsia="zh-CN"/>
        </w:rPr>
        <w:t>（二）、</w:t>
      </w:r>
      <w:r>
        <w:rPr>
          <w:rFonts w:hint="eastAsia" w:asciiTheme="minorEastAsia" w:hAnsiTheme="minorEastAsia"/>
          <w:b/>
          <w:sz w:val="24"/>
          <w:szCs w:val="24"/>
        </w:rPr>
        <w:t>专业（技能）课程</w:t>
      </w:r>
    </w:p>
    <w:p>
      <w:pPr>
        <w:spacing w:line="360" w:lineRule="auto"/>
        <w:ind w:firstLine="482" w:firstLineChars="200"/>
        <w:outlineLvl w:val="0"/>
        <w:rPr>
          <w:rFonts w:hint="eastAsia" w:ascii="宋体" w:hAnsi="宋体"/>
          <w:b/>
          <w:spacing w:val="-8"/>
          <w:sz w:val="24"/>
        </w:rPr>
      </w:pPr>
      <w:r>
        <w:rPr>
          <w:rFonts w:hint="eastAsia" w:ascii="宋体" w:hAnsi="宋体"/>
          <w:b/>
          <w:sz w:val="24"/>
          <w:szCs w:val="24"/>
        </w:rPr>
        <w:t>1.</w:t>
      </w:r>
      <w:r>
        <w:rPr>
          <w:rFonts w:ascii="宋体" w:hAnsi="宋体"/>
          <w:b/>
          <w:spacing w:val="-8"/>
          <w:sz w:val="24"/>
        </w:rPr>
        <w:t>建筑</w:t>
      </w:r>
      <w:r>
        <w:rPr>
          <w:rFonts w:hint="eastAsia" w:ascii="宋体" w:hAnsi="宋体"/>
          <w:b/>
          <w:spacing w:val="-8"/>
          <w:sz w:val="24"/>
        </w:rPr>
        <w:t>识图与构造</w:t>
      </w:r>
    </w:p>
    <w:p>
      <w:pPr>
        <w:widowControl/>
        <w:spacing w:line="360" w:lineRule="auto"/>
        <w:ind w:firstLine="482" w:firstLineChars="200"/>
        <w:jc w:val="left"/>
        <w:rPr>
          <w:rFonts w:ascii="宋体" w:hAnsi="宋体" w:eastAsia="宋体" w:cs="宋体"/>
          <w:color w:val="auto"/>
          <w:kern w:val="0"/>
          <w:sz w:val="24"/>
          <w:szCs w:val="24"/>
        </w:rPr>
      </w:pPr>
      <w:r>
        <w:rPr>
          <w:rFonts w:hint="eastAsia" w:ascii="宋体" w:hAnsi="宋体" w:eastAsia="宋体" w:cs="宋体"/>
          <w:b/>
          <w:bCs/>
          <w:color w:val="auto"/>
          <w:kern w:val="0"/>
          <w:sz w:val="24"/>
          <w:szCs w:val="24"/>
        </w:rPr>
        <w:t>课程目标：</w:t>
      </w:r>
      <w:r>
        <w:rPr>
          <w:color w:val="auto"/>
          <w:sz w:val="24"/>
        </w:rPr>
        <w:t>《建筑识图与</w:t>
      </w:r>
      <w:r>
        <w:rPr>
          <w:rFonts w:hint="eastAsia"/>
          <w:color w:val="auto"/>
          <w:sz w:val="24"/>
        </w:rPr>
        <w:t>构造</w:t>
      </w:r>
      <w:r>
        <w:rPr>
          <w:color w:val="auto"/>
          <w:sz w:val="24"/>
        </w:rPr>
        <w:t>》课程着重培养建筑工程行业从业人员的快速识读工程施工图，课程主要讲授建筑识图的基本知识、建筑形体的的投影、建筑施工图的识读与绘制、结构施工图的识读与绘制、计算机绘图及建筑构造的知识。通过本课程的教学，能正确快速识读工程施工图，并能查阅相关建筑工程图集，正确处理建筑节点，具有熟练识读建筑施工图的能力，并能正确识读结构施工图和设备施工图，胜任施工员岗位的工作。</w:t>
      </w:r>
    </w:p>
    <w:p>
      <w:pPr>
        <w:spacing w:line="360" w:lineRule="auto"/>
        <w:ind w:firstLine="482" w:firstLineChars="200"/>
        <w:rPr>
          <w:rFonts w:hint="eastAsia"/>
          <w:color w:val="auto"/>
          <w:sz w:val="24"/>
        </w:rPr>
      </w:pPr>
      <w:r>
        <w:rPr>
          <w:rFonts w:hint="eastAsia" w:ascii="宋体" w:hAnsi="宋体" w:eastAsia="宋体" w:cs="宋体"/>
          <w:b/>
          <w:bCs/>
          <w:color w:val="auto"/>
          <w:kern w:val="0"/>
          <w:sz w:val="24"/>
          <w:szCs w:val="24"/>
        </w:rPr>
        <w:t>主要内容：</w:t>
      </w:r>
      <w:r>
        <w:rPr>
          <w:rFonts w:ascii="宋体" w:hAnsi="宋体"/>
          <w:color w:val="auto"/>
          <w:sz w:val="24"/>
        </w:rPr>
        <w:t>《建筑识图与构造》是建筑</w:t>
      </w:r>
      <w:r>
        <w:rPr>
          <w:rFonts w:hint="eastAsia" w:ascii="宋体" w:hAnsi="宋体"/>
          <w:color w:val="auto"/>
          <w:sz w:val="24"/>
        </w:rPr>
        <w:t>工程技术</w:t>
      </w:r>
      <w:r>
        <w:rPr>
          <w:rFonts w:ascii="宋体" w:hAnsi="宋体"/>
          <w:color w:val="auto"/>
          <w:sz w:val="24"/>
        </w:rPr>
        <w:t>专业的专业基础课,包括识图与构造两部分,主要介绍建筑制图、识图的基本知识</w:t>
      </w:r>
      <w:r>
        <w:rPr>
          <w:rFonts w:hint="eastAsia" w:ascii="宋体" w:hAnsi="宋体"/>
          <w:color w:val="auto"/>
          <w:sz w:val="24"/>
        </w:rPr>
        <w:t>，</w:t>
      </w:r>
      <w:r>
        <w:rPr>
          <w:rFonts w:ascii="宋体" w:hAnsi="宋体"/>
          <w:color w:val="auto"/>
          <w:sz w:val="24"/>
        </w:rPr>
        <w:t>房屋建筑的构造组成及各部分的构造原理</w:t>
      </w:r>
      <w:r>
        <w:rPr>
          <w:rFonts w:hint="eastAsia" w:ascii="宋体" w:hAnsi="宋体"/>
          <w:color w:val="auto"/>
          <w:sz w:val="24"/>
        </w:rPr>
        <w:t>。</w:t>
      </w:r>
    </w:p>
    <w:p>
      <w:pPr>
        <w:keepNext w:val="0"/>
        <w:keepLines w:val="0"/>
        <w:pageBreakBefore w:val="0"/>
        <w:widowControl/>
        <w:kinsoku/>
        <w:wordWrap/>
        <w:overflowPunct/>
        <w:topLinePunct w:val="0"/>
        <w:autoSpaceDE/>
        <w:autoSpaceDN/>
        <w:bidi w:val="0"/>
        <w:snapToGrid/>
        <w:spacing w:line="360" w:lineRule="auto"/>
        <w:ind w:firstLine="482" w:firstLineChars="200"/>
        <w:jc w:val="left"/>
        <w:textAlignment w:val="auto"/>
        <w:rPr>
          <w:rFonts w:hint="eastAsia"/>
          <w:color w:val="auto"/>
          <w:sz w:val="24"/>
        </w:rPr>
      </w:pPr>
      <w:r>
        <w:rPr>
          <w:rFonts w:hint="eastAsia" w:ascii="宋体" w:hAnsi="宋体" w:eastAsia="宋体" w:cs="宋体"/>
          <w:b/>
          <w:bCs/>
          <w:color w:val="auto"/>
          <w:kern w:val="0"/>
          <w:sz w:val="24"/>
          <w:szCs w:val="24"/>
        </w:rPr>
        <w:t>教学要求：</w:t>
      </w:r>
      <w:r>
        <w:rPr>
          <w:color w:val="auto"/>
          <w:sz w:val="24"/>
        </w:rPr>
        <w:t>《建筑</w:t>
      </w:r>
      <w:r>
        <w:rPr>
          <w:rFonts w:hint="eastAsia"/>
          <w:color w:val="auto"/>
          <w:sz w:val="24"/>
        </w:rPr>
        <w:t>识图与构造</w:t>
      </w:r>
      <w:r>
        <w:rPr>
          <w:color w:val="auto"/>
          <w:sz w:val="24"/>
        </w:rPr>
        <w:t>》</w:t>
      </w:r>
      <w:r>
        <w:rPr>
          <w:rFonts w:hint="eastAsia"/>
          <w:color w:val="auto"/>
          <w:sz w:val="24"/>
        </w:rPr>
        <w:t>课程</w:t>
      </w:r>
      <w:r>
        <w:rPr>
          <w:rFonts w:hint="eastAsia"/>
          <w:color w:val="auto"/>
          <w:sz w:val="24"/>
          <w:lang w:val="en-US" w:eastAsia="zh-CN"/>
        </w:rPr>
        <w:t>要求</w:t>
      </w:r>
      <w:r>
        <w:rPr>
          <w:rFonts w:hint="eastAsia"/>
          <w:color w:val="auto"/>
          <w:sz w:val="24"/>
        </w:rPr>
        <w:t>理实一体化教学</w:t>
      </w:r>
      <w:r>
        <w:rPr>
          <w:rFonts w:hint="eastAsia"/>
          <w:color w:val="auto"/>
          <w:sz w:val="24"/>
          <w:lang w:eastAsia="zh-CN"/>
        </w:rPr>
        <w:t>，</w:t>
      </w:r>
      <w:r>
        <w:rPr>
          <w:rFonts w:hint="eastAsia"/>
          <w:color w:val="auto"/>
          <w:sz w:val="24"/>
        </w:rPr>
        <w:t>结合成套建筑工程图纸，通过建筑工程仿真识图软件使学生掌握房屋组成和构造。同时，组织学生对已完成的建筑和正在施工的建筑进行参观教学，增强感性认识。</w:t>
      </w:r>
    </w:p>
    <w:p>
      <w:pPr>
        <w:keepNext w:val="0"/>
        <w:keepLines w:val="0"/>
        <w:pageBreakBefore w:val="0"/>
        <w:numPr>
          <w:ilvl w:val="0"/>
          <w:numId w:val="0"/>
        </w:numPr>
        <w:kinsoku/>
        <w:wordWrap/>
        <w:overflowPunct/>
        <w:topLinePunct w:val="0"/>
        <w:autoSpaceDE/>
        <w:autoSpaceDN/>
        <w:bidi w:val="0"/>
        <w:adjustRightInd w:val="0"/>
        <w:snapToGrid/>
        <w:spacing w:line="360" w:lineRule="auto"/>
        <w:ind w:firstLine="450" w:firstLineChars="200"/>
        <w:textAlignment w:val="auto"/>
        <w:rPr>
          <w:rFonts w:hint="eastAsia" w:ascii="宋体" w:hAnsi="宋体" w:eastAsia="宋体" w:cs="Times New Roman"/>
          <w:b/>
          <w:bCs/>
          <w:color w:val="000000"/>
          <w:sz w:val="24"/>
          <w:szCs w:val="24"/>
        </w:rPr>
      </w:pPr>
      <w:r>
        <w:rPr>
          <w:rFonts w:hint="eastAsia" w:ascii="宋体" w:hAnsi="宋体"/>
          <w:b/>
          <w:spacing w:val="-8"/>
          <w:sz w:val="24"/>
          <w:lang w:val="en-US" w:eastAsia="zh-CN"/>
        </w:rPr>
        <w:t>2、</w:t>
      </w:r>
      <w:r>
        <w:rPr>
          <w:rFonts w:hint="eastAsia" w:ascii="宋体" w:hAnsi="宋体" w:cs="Times New Roman"/>
          <w:b/>
          <w:bCs/>
          <w:color w:val="000000"/>
          <w:sz w:val="24"/>
          <w:szCs w:val="24"/>
          <w:lang w:val="en-US" w:eastAsia="zh-CN"/>
        </w:rPr>
        <w:t>建筑</w:t>
      </w:r>
      <w:r>
        <w:rPr>
          <w:rFonts w:hint="eastAsia" w:ascii="宋体" w:hAnsi="宋体" w:eastAsia="宋体" w:cs="Times New Roman"/>
          <w:b/>
          <w:bCs/>
          <w:color w:val="000000"/>
          <w:sz w:val="24"/>
          <w:szCs w:val="24"/>
          <w:lang w:val="en-US" w:eastAsia="zh-CN"/>
        </w:rPr>
        <w:t>材料</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bCs/>
          <w:color w:val="000000"/>
          <w:sz w:val="24"/>
          <w:szCs w:val="24"/>
          <w:lang w:val="en-US" w:eastAsia="zh-CN"/>
        </w:rPr>
        <w:t>课程目标：</w:t>
      </w:r>
      <w:r>
        <w:rPr>
          <w:rFonts w:hint="eastAsia" w:ascii="宋体" w:hAnsi="宋体" w:eastAsia="宋体" w:cs="Times New Roman"/>
          <w:b w:val="0"/>
          <w:bCs w:val="0"/>
          <w:color w:val="000000"/>
          <w:sz w:val="24"/>
          <w:szCs w:val="24"/>
          <w:lang w:val="en-US" w:eastAsia="zh-CN"/>
        </w:rPr>
        <w:t>通过对本课程的学习，培养学生扎实的建筑材料与检测基本理论知识，能熟练运用有关建筑材料的组成、性质与应用的基本知识，掌握主要建筑材料试验与检测的基本技能训练。同时，注重培养学生良好的职业素质，为学生毕业后从事专业技术工作能够合理选择和使用建筑材料打下基础。</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Times New Roman"/>
          <w:b w:val="0"/>
          <w:bCs w:val="0"/>
          <w:color w:val="000000"/>
          <w:sz w:val="24"/>
          <w:szCs w:val="24"/>
          <w:lang w:val="en-US" w:eastAsia="zh-CN"/>
        </w:rPr>
      </w:pPr>
      <w:r>
        <w:rPr>
          <w:rFonts w:hint="eastAsia" w:ascii="宋体" w:hAnsi="宋体" w:eastAsia="宋体" w:cs="Times New Roman"/>
          <w:b/>
          <w:bCs/>
          <w:color w:val="000000"/>
          <w:sz w:val="24"/>
          <w:szCs w:val="24"/>
          <w:lang w:val="en-US" w:eastAsia="zh-CN"/>
        </w:rPr>
        <w:t>主要内容：</w:t>
      </w:r>
      <w:r>
        <w:rPr>
          <w:rFonts w:hint="eastAsia" w:ascii="宋体" w:hAnsi="宋体" w:eastAsia="宋体" w:cs="Times New Roman"/>
          <w:b w:val="0"/>
          <w:bCs w:val="0"/>
          <w:color w:val="000000"/>
          <w:sz w:val="24"/>
          <w:szCs w:val="24"/>
          <w:lang w:val="en-US" w:eastAsia="zh-CN"/>
        </w:rPr>
        <w:t>培养学生掌握建筑材料（以水泥、混凝土、钢材、防水材料、墙体材料、绝热材料、装饰材料为主）的品种、规格、性能与应用；了解材料组成结构、外界因素对材料性质的影响；熟悉各种材料的相关国家标准或行业标准；掌握常用建筑材料现场验收基本知识；掌握不同材料取样复验规则与取样方法；熟悉材料的检验标准、检验方法，了解检测报告的形式、检测结果的判定；掌握不同材料的存储方法；了解材料科学及新材料的发展方向；熟悉建筑材料市场调查分析的内容和方法</w:t>
      </w:r>
    </w:p>
    <w:p>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82" w:firstLineChars="200"/>
        <w:jc w:val="both"/>
        <w:textAlignment w:val="auto"/>
        <w:rPr>
          <w:rFonts w:hint="eastAsia" w:ascii="宋体" w:hAnsi="宋体" w:eastAsia="宋体" w:cs="Times New Roman"/>
          <w:b/>
          <w:bCs/>
          <w:color w:val="000000"/>
          <w:sz w:val="24"/>
          <w:szCs w:val="24"/>
          <w:lang w:val="en-US" w:eastAsia="zh-CN"/>
        </w:rPr>
      </w:pPr>
      <w:r>
        <w:rPr>
          <w:rFonts w:hint="eastAsia" w:ascii="宋体" w:hAnsi="宋体" w:eastAsia="宋体" w:cs="Times New Roman"/>
          <w:b/>
          <w:bCs/>
          <w:color w:val="000000"/>
          <w:sz w:val="24"/>
          <w:szCs w:val="24"/>
          <w:lang w:val="en-US" w:eastAsia="zh-CN"/>
        </w:rPr>
        <w:t>教学要求：</w:t>
      </w:r>
      <w:r>
        <w:rPr>
          <w:rFonts w:hint="eastAsia" w:ascii="宋体" w:hAnsi="宋体" w:eastAsia="宋体" w:cs="Times New Roman"/>
          <w:b w:val="0"/>
          <w:bCs w:val="0"/>
          <w:color w:val="000000"/>
          <w:sz w:val="24"/>
          <w:szCs w:val="24"/>
          <w:lang w:val="en-US" w:eastAsia="zh-CN"/>
        </w:rPr>
        <w:t>本课程以教学任务为主线，明确教学内容，融理论知识与技能训练为一体，通过“教、学、做”，有效调动学生学习兴趣，促进学生积极思考与实践，注重学生职业能力的发展，主要章节以划分学习情境为主线，以真实的工作任务为载体来进行课堂教学设计，强化学生能力的培养。</w:t>
      </w:r>
    </w:p>
    <w:p>
      <w:pPr>
        <w:keepNext w:val="0"/>
        <w:keepLines w:val="0"/>
        <w:pageBreakBefore w:val="0"/>
        <w:numPr>
          <w:ilvl w:val="0"/>
          <w:numId w:val="0"/>
        </w:numPr>
        <w:kinsoku/>
        <w:wordWrap/>
        <w:overflowPunct/>
        <w:topLinePunct w:val="0"/>
        <w:autoSpaceDE/>
        <w:autoSpaceDN/>
        <w:bidi w:val="0"/>
        <w:snapToGrid/>
        <w:spacing w:line="360" w:lineRule="auto"/>
        <w:ind w:leftChars="0" w:firstLine="450" w:firstLineChars="200"/>
        <w:textAlignment w:val="auto"/>
        <w:outlineLvl w:val="0"/>
        <w:rPr>
          <w:rFonts w:ascii="宋体" w:hAnsi="宋体"/>
          <w:b/>
          <w:color w:val="auto"/>
          <w:spacing w:val="-8"/>
          <w:sz w:val="24"/>
        </w:rPr>
      </w:pPr>
      <w:r>
        <w:rPr>
          <w:rFonts w:hint="eastAsia" w:ascii="宋体" w:hAnsi="宋体"/>
          <w:b/>
          <w:color w:val="auto"/>
          <w:spacing w:val="-8"/>
          <w:sz w:val="24"/>
          <w:lang w:val="en-US" w:eastAsia="zh-CN"/>
        </w:rPr>
        <w:t>3、建筑</w:t>
      </w:r>
      <w:r>
        <w:rPr>
          <w:rFonts w:hint="eastAsia" w:ascii="宋体" w:hAnsi="宋体"/>
          <w:b/>
          <w:color w:val="auto"/>
          <w:spacing w:val="-8"/>
          <w:sz w:val="24"/>
        </w:rPr>
        <w:t>力学</w:t>
      </w:r>
    </w:p>
    <w:p>
      <w:pPr>
        <w:keepNext w:val="0"/>
        <w:keepLines w:val="0"/>
        <w:pageBreakBefore w:val="0"/>
        <w:widowControl w:val="0"/>
        <w:kinsoku/>
        <w:wordWrap/>
        <w:overflowPunct/>
        <w:topLinePunct w:val="0"/>
        <w:autoSpaceDE/>
        <w:autoSpaceDN/>
        <w:bidi w:val="0"/>
        <w:adjustRightInd/>
        <w:snapToGrid/>
        <w:spacing w:line="360" w:lineRule="auto"/>
        <w:ind w:firstLine="472" w:firstLineChars="196"/>
        <w:textAlignment w:val="auto"/>
        <w:rPr>
          <w:color w:val="auto"/>
          <w:sz w:val="24"/>
        </w:rPr>
      </w:pPr>
      <w:r>
        <w:rPr>
          <w:rFonts w:hint="eastAsia" w:ascii="宋体" w:hAnsi="宋体" w:eastAsia="宋体" w:cs="宋体"/>
          <w:b/>
          <w:bCs/>
          <w:color w:val="auto"/>
          <w:kern w:val="0"/>
          <w:sz w:val="24"/>
          <w:szCs w:val="24"/>
        </w:rPr>
        <w:t>课程目标：</w:t>
      </w:r>
      <w:r>
        <w:rPr>
          <w:rFonts w:ascii="宋体" w:hAnsi="宋体" w:eastAsia="宋体"/>
          <w:color w:val="auto"/>
          <w:kern w:val="0"/>
          <w:sz w:val="24"/>
          <w:szCs w:val="24"/>
        </w:rPr>
        <w:t>《</w:t>
      </w:r>
      <w:r>
        <w:rPr>
          <w:rFonts w:hint="eastAsia" w:ascii="宋体" w:hAnsi="宋体"/>
          <w:color w:val="auto"/>
          <w:kern w:val="0"/>
          <w:sz w:val="24"/>
          <w:szCs w:val="24"/>
          <w:lang w:val="en-US" w:eastAsia="zh-CN"/>
        </w:rPr>
        <w:t>建筑</w:t>
      </w:r>
      <w:r>
        <w:rPr>
          <w:rFonts w:ascii="宋体" w:hAnsi="宋体" w:eastAsia="宋体"/>
          <w:color w:val="auto"/>
          <w:kern w:val="0"/>
          <w:sz w:val="24"/>
          <w:szCs w:val="24"/>
        </w:rPr>
        <w:t>力学》是建筑</w:t>
      </w:r>
      <w:r>
        <w:rPr>
          <w:rFonts w:hint="eastAsia" w:ascii="宋体" w:hAnsi="宋体" w:eastAsia="宋体"/>
          <w:color w:val="auto"/>
          <w:kern w:val="0"/>
          <w:sz w:val="24"/>
          <w:szCs w:val="24"/>
        </w:rPr>
        <w:t>工程技术</w:t>
      </w:r>
      <w:r>
        <w:rPr>
          <w:rFonts w:ascii="宋体" w:hAnsi="宋体" w:eastAsia="宋体"/>
          <w:color w:val="auto"/>
          <w:kern w:val="0"/>
          <w:sz w:val="24"/>
          <w:szCs w:val="24"/>
        </w:rPr>
        <w:t>专业的主干课程,是专业基础必修课。</w:t>
      </w:r>
      <w:r>
        <w:rPr>
          <w:rFonts w:hint="eastAsia" w:ascii="宋体" w:hAnsi="宋体" w:eastAsia="宋体"/>
          <w:color w:val="auto"/>
          <w:kern w:val="0"/>
          <w:sz w:val="24"/>
          <w:szCs w:val="24"/>
        </w:rPr>
        <w:t>它以高等数学、物理学为基础，通过本课程的学习，培养学生具有初步对建筑工程问题的简化能力，一定的力学分析与计算能力，是学习有关后继课程和从事专业技术工作的基础。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outlineLvl w:val="0"/>
        <w:rPr>
          <w:rFonts w:hint="eastAsia" w:ascii="宋体" w:hAnsi="宋体"/>
          <w:color w:val="auto"/>
          <w:sz w:val="24"/>
        </w:rPr>
      </w:pPr>
      <w:r>
        <w:rPr>
          <w:rFonts w:hint="eastAsia" w:ascii="宋体" w:hAnsi="宋体"/>
          <w:b/>
          <w:bCs/>
          <w:color w:val="auto"/>
          <w:sz w:val="24"/>
        </w:rPr>
        <w:t>主要内容：</w:t>
      </w:r>
      <w:r>
        <w:rPr>
          <w:rFonts w:hint="eastAsia" w:ascii="宋体" w:hAnsi="宋体"/>
          <w:color w:val="auto"/>
          <w:sz w:val="24"/>
        </w:rPr>
        <w:t>本课程的任务是讲授结构的静力平衡分析、各类基本构件（拉、压、剪、弯）的受力分析、应力和变形计算、强度和刚度分析。使学生掌握建筑结构基本构件的力学分析原理和方法。</w:t>
      </w:r>
    </w:p>
    <w:p>
      <w:pPr>
        <w:keepNext w:val="0"/>
        <w:keepLines w:val="0"/>
        <w:pageBreakBefore w:val="0"/>
        <w:widowControl w:val="0"/>
        <w:kinsoku/>
        <w:wordWrap/>
        <w:overflowPunct/>
        <w:topLinePunct w:val="0"/>
        <w:autoSpaceDE/>
        <w:autoSpaceDN/>
        <w:bidi w:val="0"/>
        <w:adjustRightInd/>
        <w:snapToGrid/>
        <w:spacing w:line="360" w:lineRule="auto"/>
        <w:ind w:firstLine="472" w:firstLineChars="196"/>
        <w:textAlignment w:val="auto"/>
        <w:rPr>
          <w:rFonts w:hint="eastAsia" w:ascii="宋体" w:hAnsi="宋体"/>
          <w:color w:val="auto"/>
          <w:sz w:val="24"/>
        </w:rPr>
      </w:pPr>
      <w:r>
        <w:rPr>
          <w:rFonts w:hint="eastAsia" w:ascii="宋体" w:hAnsi="宋体" w:eastAsia="宋体" w:cs="宋体"/>
          <w:b/>
          <w:bCs/>
          <w:color w:val="auto"/>
          <w:kern w:val="0"/>
          <w:sz w:val="24"/>
          <w:szCs w:val="24"/>
        </w:rPr>
        <w:t>教学要求：</w:t>
      </w:r>
      <w:r>
        <w:rPr>
          <w:rFonts w:hint="eastAsia" w:ascii="宋体" w:hAnsi="宋体" w:cs="宋体"/>
          <w:color w:val="auto"/>
          <w:kern w:val="0"/>
          <w:sz w:val="24"/>
          <w:szCs w:val="24"/>
          <w:lang w:val="en-US" w:eastAsia="zh-CN"/>
        </w:rPr>
        <w:t>通过本课程的学习，要求学生</w:t>
      </w:r>
      <w:r>
        <w:rPr>
          <w:color w:val="auto"/>
          <w:sz w:val="24"/>
        </w:rPr>
        <w:t>具有求解平衡问题的能力</w:t>
      </w:r>
      <w:r>
        <w:rPr>
          <w:rFonts w:hint="eastAsia"/>
          <w:color w:val="auto"/>
          <w:sz w:val="24"/>
          <w:lang w:eastAsia="zh-CN"/>
        </w:rPr>
        <w:t>，</w:t>
      </w:r>
      <w:r>
        <w:rPr>
          <w:rFonts w:hint="eastAsia"/>
          <w:color w:val="auto"/>
          <w:sz w:val="24"/>
          <w:lang w:val="en-US" w:eastAsia="zh-CN"/>
        </w:rPr>
        <w:t>能够</w:t>
      </w:r>
      <w:r>
        <w:rPr>
          <w:color w:val="auto"/>
          <w:sz w:val="24"/>
        </w:rPr>
        <w:t>对简单杆件结构进行内力分析和绘制内力图的能力</w:t>
      </w:r>
      <w:r>
        <w:rPr>
          <w:rFonts w:hint="eastAsia"/>
          <w:color w:val="auto"/>
          <w:sz w:val="24"/>
          <w:lang w:eastAsia="zh-CN"/>
        </w:rPr>
        <w:t>，</w:t>
      </w:r>
      <w:r>
        <w:rPr>
          <w:color w:val="auto"/>
          <w:sz w:val="24"/>
        </w:rPr>
        <w:t>具</w:t>
      </w:r>
      <w:r>
        <w:rPr>
          <w:rFonts w:hint="eastAsia"/>
          <w:color w:val="auto"/>
          <w:sz w:val="24"/>
          <w:lang w:val="en-US" w:eastAsia="zh-CN"/>
        </w:rPr>
        <w:t>备</w:t>
      </w:r>
      <w:r>
        <w:rPr>
          <w:color w:val="auto"/>
          <w:sz w:val="24"/>
        </w:rPr>
        <w:t>对一般构件进行强度和刚度计算的能力</w:t>
      </w:r>
      <w:r>
        <w:rPr>
          <w:rFonts w:hint="eastAsia"/>
          <w:color w:val="auto"/>
          <w:sz w:val="24"/>
          <w:lang w:eastAsia="zh-CN"/>
        </w:rPr>
        <w:t>，</w:t>
      </w:r>
      <w:r>
        <w:rPr>
          <w:color w:val="auto"/>
          <w:sz w:val="24"/>
        </w:rPr>
        <w:t>具有对建筑结构进行力学分析的基本思维能力。</w:t>
      </w:r>
    </w:p>
    <w:p>
      <w:pPr>
        <w:numPr>
          <w:ilvl w:val="0"/>
          <w:numId w:val="0"/>
        </w:numPr>
        <w:spacing w:line="360" w:lineRule="auto"/>
        <w:ind w:firstLine="482" w:firstLineChars="200"/>
        <w:rPr>
          <w:rFonts w:hint="eastAsia"/>
          <w:b/>
          <w:color w:val="auto"/>
          <w:sz w:val="24"/>
          <w:lang w:val="en-US" w:eastAsia="zh-CN"/>
        </w:rPr>
      </w:pPr>
      <w:r>
        <w:rPr>
          <w:rFonts w:hint="eastAsia"/>
          <w:b/>
          <w:color w:val="auto"/>
          <w:sz w:val="24"/>
          <w:lang w:val="en-US" w:eastAsia="zh-CN"/>
        </w:rPr>
        <w:t>4、</w:t>
      </w:r>
      <w:r>
        <w:rPr>
          <w:b/>
          <w:color w:val="auto"/>
          <w:sz w:val="24"/>
        </w:rPr>
        <w:t>建筑</w:t>
      </w:r>
      <w:r>
        <w:rPr>
          <w:rFonts w:hint="eastAsia"/>
          <w:b/>
          <w:color w:val="auto"/>
          <w:sz w:val="24"/>
          <w:lang w:val="en-US" w:eastAsia="zh-CN"/>
        </w:rPr>
        <w:t>CAD</w:t>
      </w:r>
    </w:p>
    <w:p>
      <w:pPr>
        <w:spacing w:line="360" w:lineRule="auto"/>
        <w:ind w:firstLine="472" w:firstLineChars="196"/>
        <w:rPr>
          <w:rFonts w:hint="default" w:ascii="宋体" w:hAnsi="宋体"/>
          <w:color w:val="auto"/>
          <w:sz w:val="24"/>
          <w:lang w:val="en-US" w:eastAsia="zh-CN"/>
        </w:rPr>
      </w:pPr>
      <w:r>
        <w:rPr>
          <w:rFonts w:hint="eastAsia" w:ascii="宋体" w:hAnsi="宋体" w:eastAsia="宋体" w:cs="宋体"/>
          <w:b/>
          <w:bCs/>
          <w:color w:val="auto"/>
          <w:kern w:val="0"/>
          <w:sz w:val="24"/>
          <w:szCs w:val="24"/>
        </w:rPr>
        <w:t>课程目标：</w:t>
      </w:r>
      <w:r>
        <w:rPr>
          <w:rFonts w:ascii="宋体" w:hAnsi="宋体"/>
          <w:color w:val="auto"/>
          <w:sz w:val="24"/>
        </w:rPr>
        <w:t>《</w:t>
      </w:r>
      <w:r>
        <w:rPr>
          <w:rFonts w:hint="eastAsia" w:ascii="宋体" w:hAnsi="宋体"/>
          <w:color w:val="auto"/>
          <w:sz w:val="24"/>
        </w:rPr>
        <w:t>建筑CAD</w:t>
      </w:r>
      <w:r>
        <w:rPr>
          <w:rFonts w:ascii="宋体" w:hAnsi="宋体"/>
          <w:color w:val="auto"/>
          <w:sz w:val="24"/>
        </w:rPr>
        <w:t>》</w:t>
      </w:r>
      <w:r>
        <w:rPr>
          <w:rFonts w:hint="eastAsia" w:ascii="宋体" w:hAnsi="宋体"/>
          <w:color w:val="auto"/>
          <w:sz w:val="24"/>
        </w:rPr>
        <w:t>是建筑工程技术专业</w:t>
      </w:r>
      <w:r>
        <w:rPr>
          <w:rFonts w:hint="eastAsia" w:ascii="宋体" w:hAnsi="宋体"/>
          <w:color w:val="auto"/>
          <w:sz w:val="24"/>
          <w:lang w:val="en-US" w:eastAsia="zh-CN"/>
        </w:rPr>
        <w:t>基础</w:t>
      </w:r>
      <w:r>
        <w:rPr>
          <w:rFonts w:hint="eastAsia" w:ascii="宋体" w:hAnsi="宋体"/>
          <w:color w:val="auto"/>
          <w:sz w:val="24"/>
        </w:rPr>
        <w:t>课程，</w:t>
      </w:r>
      <w:r>
        <w:rPr>
          <w:rFonts w:hint="eastAsia" w:ascii="宋体" w:hAnsi="宋体" w:eastAsia="宋体" w:cs="宋体"/>
          <w:color w:val="auto"/>
          <w:kern w:val="0"/>
          <w:sz w:val="24"/>
          <w:szCs w:val="24"/>
        </w:rPr>
        <w:t>介绍 AutoCAD的基本概念及</w:t>
      </w:r>
      <w:r>
        <w:rPr>
          <w:rFonts w:hint="eastAsia" w:ascii="宋体" w:hAnsi="宋体"/>
          <w:color w:val="auto"/>
          <w:sz w:val="24"/>
          <w:lang w:val="en-US" w:eastAsia="zh-CN"/>
        </w:rPr>
        <w:t>使用方法，以及天正Tarch软件在建筑工程技术中的应用，为学生的毕业设计和工作中能熟练绘制建筑工程图打下基础。</w:t>
      </w:r>
    </w:p>
    <w:p>
      <w:pPr>
        <w:spacing w:line="360" w:lineRule="auto"/>
        <w:ind w:firstLine="472" w:firstLineChars="196"/>
        <w:rPr>
          <w:rFonts w:hint="eastAsia" w:ascii="宋体" w:hAnsi="宋体"/>
          <w:color w:val="auto"/>
          <w:sz w:val="24"/>
          <w:lang w:val="en-US" w:eastAsia="zh-CN"/>
        </w:rPr>
      </w:pPr>
      <w:r>
        <w:rPr>
          <w:rFonts w:hint="eastAsia" w:ascii="宋体" w:hAnsi="宋体"/>
          <w:b/>
          <w:bCs/>
          <w:color w:val="auto"/>
          <w:sz w:val="24"/>
          <w:lang w:val="en-US" w:eastAsia="zh-CN"/>
        </w:rPr>
        <w:t>主要内容：</w:t>
      </w:r>
      <w:r>
        <w:rPr>
          <w:rFonts w:hint="eastAsia" w:ascii="宋体" w:hAnsi="宋体"/>
          <w:color w:val="auto"/>
          <w:sz w:val="24"/>
          <w:lang w:val="en-US" w:eastAsia="zh-CN"/>
        </w:rPr>
        <w:t>Auto CAD二维绘图命令、常用的图形编辑功能、文本编辑、定义块及属性块操作、尺寸标注命令，能系统地掌握Tarch软件，直接绘制出具有专业含义、经得起反复修改的图形对象，高效绘制较复杂的建筑平面图、建筑立面图和建筑剖视图。</w:t>
      </w:r>
    </w:p>
    <w:p>
      <w:pPr>
        <w:spacing w:line="360" w:lineRule="auto"/>
        <w:ind w:firstLine="472" w:firstLineChars="196"/>
        <w:rPr>
          <w:rFonts w:hint="default" w:ascii="宋体" w:hAnsi="宋体"/>
          <w:color w:val="auto"/>
          <w:sz w:val="24"/>
          <w:lang w:val="en-US" w:eastAsia="zh-CN"/>
        </w:rPr>
      </w:pPr>
      <w:r>
        <w:rPr>
          <w:rFonts w:hint="eastAsia" w:ascii="宋体" w:hAnsi="宋体" w:eastAsia="宋体" w:cs="宋体"/>
          <w:b/>
          <w:bCs/>
          <w:color w:val="auto"/>
          <w:kern w:val="0"/>
          <w:sz w:val="24"/>
          <w:szCs w:val="24"/>
        </w:rPr>
        <w:t>教学要求：</w:t>
      </w:r>
      <w:r>
        <w:rPr>
          <w:rFonts w:hint="eastAsia" w:ascii="宋体" w:hAnsi="宋体"/>
          <w:color w:val="auto"/>
          <w:sz w:val="24"/>
          <w:lang w:val="en-US" w:eastAsia="zh-CN"/>
        </w:rPr>
        <w:t>培养学生</w:t>
      </w:r>
      <w:r>
        <w:rPr>
          <w:rFonts w:hint="eastAsia" w:ascii="宋体" w:hAnsi="宋体"/>
          <w:color w:val="auto"/>
          <w:sz w:val="24"/>
        </w:rPr>
        <w:t>熟练运用CAD软件进行建筑图形设计</w:t>
      </w:r>
      <w:r>
        <w:rPr>
          <w:rFonts w:hint="eastAsia" w:ascii="宋体" w:hAnsi="宋体"/>
          <w:color w:val="auto"/>
          <w:sz w:val="24"/>
          <w:lang w:eastAsia="zh-CN"/>
        </w:rPr>
        <w:t>，</w:t>
      </w:r>
      <w:r>
        <w:rPr>
          <w:rFonts w:hint="eastAsia" w:ascii="宋体" w:hAnsi="宋体"/>
          <w:color w:val="auto"/>
          <w:sz w:val="24"/>
          <w:lang w:val="en-US" w:eastAsia="zh-CN"/>
        </w:rPr>
        <w:t>包括</w:t>
      </w:r>
      <w:r>
        <w:rPr>
          <w:rFonts w:hint="eastAsia" w:ascii="宋体" w:hAnsi="宋体"/>
          <w:color w:val="auto"/>
          <w:sz w:val="24"/>
        </w:rPr>
        <w:t>熟练掌握 AutoCAD 基本命令的操作与使用</w:t>
      </w:r>
      <w:r>
        <w:rPr>
          <w:rFonts w:hint="eastAsia" w:ascii="宋体" w:hAnsi="宋体"/>
          <w:color w:val="auto"/>
          <w:sz w:val="24"/>
          <w:lang w:eastAsia="zh-CN"/>
        </w:rPr>
        <w:t>、</w:t>
      </w:r>
      <w:r>
        <w:rPr>
          <w:rFonts w:hint="eastAsia" w:ascii="宋体" w:hAnsi="宋体"/>
          <w:color w:val="auto"/>
          <w:sz w:val="24"/>
        </w:rPr>
        <w:t>掌握常用命令的功能、作用以及在使用中的注意</w:t>
      </w:r>
      <w:r>
        <w:rPr>
          <w:rFonts w:hint="eastAsia" w:ascii="宋体" w:hAnsi="宋体"/>
          <w:color w:val="auto"/>
          <w:sz w:val="24"/>
          <w:lang w:val="en-US" w:eastAsia="zh-CN"/>
        </w:rPr>
        <w:t>事项</w:t>
      </w:r>
      <w:r>
        <w:rPr>
          <w:rFonts w:hint="eastAsia" w:ascii="宋体" w:hAnsi="宋体"/>
          <w:color w:val="auto"/>
          <w:sz w:val="24"/>
        </w:rPr>
        <w:t>。</w:t>
      </w:r>
      <w:r>
        <w:rPr>
          <w:rFonts w:hint="eastAsia" w:ascii="宋体" w:hAnsi="宋体"/>
          <w:color w:val="auto"/>
          <w:sz w:val="24"/>
          <w:lang w:val="en-US" w:eastAsia="zh-CN"/>
        </w:rPr>
        <w:t>指导</w:t>
      </w:r>
      <w:r>
        <w:rPr>
          <w:rFonts w:hint="eastAsia" w:ascii="宋体" w:hAnsi="宋体"/>
          <w:color w:val="auto"/>
          <w:sz w:val="24"/>
        </w:rPr>
        <w:t>学生能熟练的利用计算机绘制建筑工程图样，培养对</w:t>
      </w:r>
      <w:r>
        <w:rPr>
          <w:rFonts w:hint="eastAsia" w:ascii="宋体" w:hAnsi="宋体"/>
          <w:color w:val="auto"/>
          <w:sz w:val="24"/>
          <w:lang w:val="en-US" w:eastAsia="zh-CN"/>
        </w:rPr>
        <w:t>建筑施工图纸</w:t>
      </w:r>
      <w:r>
        <w:rPr>
          <w:rFonts w:hint="eastAsia" w:ascii="宋体" w:hAnsi="宋体"/>
          <w:color w:val="auto"/>
          <w:sz w:val="24"/>
        </w:rPr>
        <w:t>的空间</w:t>
      </w:r>
      <w:r>
        <w:rPr>
          <w:rFonts w:hint="eastAsia" w:ascii="宋体" w:hAnsi="宋体"/>
          <w:color w:val="auto"/>
          <w:sz w:val="24"/>
          <w:lang w:val="en-US" w:eastAsia="zh-CN"/>
        </w:rPr>
        <w:t>想象</w:t>
      </w:r>
      <w:r>
        <w:rPr>
          <w:rFonts w:hint="eastAsia" w:ascii="宋体" w:hAnsi="宋体"/>
          <w:color w:val="auto"/>
          <w:sz w:val="24"/>
        </w:rPr>
        <w:t>能力和</w:t>
      </w:r>
      <w:r>
        <w:rPr>
          <w:rFonts w:hint="eastAsia" w:ascii="宋体" w:hAnsi="宋体"/>
          <w:color w:val="auto"/>
          <w:sz w:val="24"/>
          <w:lang w:val="en-US" w:eastAsia="zh-CN"/>
        </w:rPr>
        <w:t>软件绘图能力。</w:t>
      </w:r>
    </w:p>
    <w:p>
      <w:pPr>
        <w:spacing w:line="360" w:lineRule="auto"/>
        <w:ind w:firstLine="470" w:firstLineChars="196"/>
        <w:rPr>
          <w:rFonts w:hint="eastAsia"/>
          <w:b/>
          <w:color w:val="auto"/>
          <w:sz w:val="24"/>
        </w:rPr>
      </w:pPr>
      <w:r>
        <w:rPr>
          <w:rFonts w:hint="eastAsia" w:ascii="宋体" w:hAnsi="宋体"/>
          <w:color w:val="auto"/>
          <w:sz w:val="24"/>
          <w:lang w:val="en-US" w:eastAsia="zh-CN"/>
        </w:rPr>
        <w:t>5、</w:t>
      </w:r>
      <w:r>
        <w:rPr>
          <w:rFonts w:hint="eastAsia"/>
          <w:b/>
          <w:color w:val="auto"/>
          <w:sz w:val="24"/>
        </w:rPr>
        <w:t>钢筋混凝土结构设计与识图构造</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color w:val="auto"/>
          <w:sz w:val="24"/>
        </w:rPr>
      </w:pPr>
      <w:r>
        <w:rPr>
          <w:rFonts w:hint="eastAsia" w:ascii="宋体" w:hAnsi="宋体" w:eastAsia="宋体" w:cs="宋体"/>
          <w:b/>
          <w:bCs/>
          <w:color w:val="auto"/>
          <w:kern w:val="0"/>
          <w:sz w:val="24"/>
          <w:szCs w:val="24"/>
        </w:rPr>
        <w:t>课程目标：</w:t>
      </w:r>
      <w:r>
        <w:rPr>
          <w:rFonts w:ascii="宋体" w:hAnsi="宋体"/>
          <w:color w:val="auto"/>
          <w:sz w:val="24"/>
        </w:rPr>
        <w:t>《</w:t>
      </w:r>
      <w:r>
        <w:rPr>
          <w:rFonts w:hint="eastAsia" w:ascii="宋体" w:hAnsi="宋体"/>
          <w:color w:val="auto"/>
          <w:sz w:val="24"/>
        </w:rPr>
        <w:t>钢筋混凝土结构设计与识图构造</w:t>
      </w:r>
      <w:r>
        <w:rPr>
          <w:rFonts w:ascii="宋体" w:hAnsi="宋体"/>
          <w:color w:val="auto"/>
          <w:sz w:val="24"/>
        </w:rPr>
        <w:t>》</w:t>
      </w:r>
      <w:r>
        <w:rPr>
          <w:rFonts w:hint="eastAsia" w:ascii="宋体" w:hAnsi="宋体"/>
          <w:color w:val="auto"/>
          <w:sz w:val="24"/>
        </w:rPr>
        <w:t>是新增的专业核心课程，</w:t>
      </w:r>
      <w:r>
        <w:rPr>
          <w:color w:val="auto"/>
          <w:sz w:val="24"/>
        </w:rPr>
        <w:t>课程主要培养学生理解</w:t>
      </w:r>
      <w:r>
        <w:rPr>
          <w:rFonts w:hint="eastAsia"/>
          <w:color w:val="auto"/>
          <w:sz w:val="24"/>
        </w:rPr>
        <w:t>钢筋混凝土</w:t>
      </w:r>
      <w:r>
        <w:rPr>
          <w:color w:val="auto"/>
          <w:sz w:val="24"/>
        </w:rPr>
        <w:t>结构基本概念；掌握</w:t>
      </w:r>
      <w:r>
        <w:rPr>
          <w:rFonts w:hint="eastAsia"/>
          <w:color w:val="auto"/>
          <w:sz w:val="24"/>
        </w:rPr>
        <w:t>混凝土</w:t>
      </w:r>
      <w:r>
        <w:rPr>
          <w:color w:val="auto"/>
          <w:sz w:val="24"/>
        </w:rPr>
        <w:t>结构构件的基本计算理论与结构构造措施；具有利用材料、力学、构造、结构等方面知识解决实际工程结构方面问题的基本能力。</w:t>
      </w:r>
    </w:p>
    <w:p>
      <w:pPr>
        <w:keepNext w:val="0"/>
        <w:keepLines w:val="0"/>
        <w:pageBreakBefore w:val="0"/>
        <w:widowControl w:val="0"/>
        <w:kinsoku/>
        <w:wordWrap/>
        <w:overflowPunct/>
        <w:topLinePunct w:val="0"/>
        <w:autoSpaceDE/>
        <w:autoSpaceDN/>
        <w:bidi w:val="0"/>
        <w:adjustRightInd/>
        <w:snapToGrid/>
        <w:spacing w:line="360" w:lineRule="auto"/>
        <w:ind w:firstLine="472" w:firstLineChars="196"/>
        <w:textAlignment w:val="auto"/>
        <w:rPr>
          <w:rFonts w:hint="eastAsia" w:ascii="宋体" w:hAnsi="宋体"/>
          <w:color w:val="auto"/>
          <w:sz w:val="24"/>
        </w:rPr>
      </w:pPr>
      <w:r>
        <w:rPr>
          <w:rFonts w:hint="eastAsia" w:ascii="宋体" w:hAnsi="宋体"/>
          <w:b/>
          <w:bCs/>
          <w:color w:val="auto"/>
          <w:sz w:val="24"/>
        </w:rPr>
        <w:t>主要内容：</w:t>
      </w:r>
      <w:r>
        <w:rPr>
          <w:rFonts w:hint="eastAsia" w:ascii="宋体" w:hAnsi="宋体"/>
          <w:color w:val="auto"/>
          <w:sz w:val="24"/>
        </w:rPr>
        <w:t>主要讲解钢筋混凝土结构设计基本原理和简单构件配筋设计</w:t>
      </w:r>
      <w:r>
        <w:rPr>
          <w:rFonts w:hint="eastAsia" w:ascii="宋体" w:hAnsi="宋体"/>
          <w:color w:val="auto"/>
          <w:sz w:val="24"/>
          <w:lang w:eastAsia="zh-CN"/>
        </w:rPr>
        <w:t>、</w:t>
      </w:r>
      <w:r>
        <w:rPr>
          <w:color w:val="auto"/>
          <w:sz w:val="24"/>
        </w:rPr>
        <w:t>钢筋混凝土框架结构、建筑结构抗震设计基本知识</w:t>
      </w:r>
      <w:r>
        <w:rPr>
          <w:rFonts w:hint="eastAsia"/>
          <w:color w:val="auto"/>
          <w:sz w:val="24"/>
          <w:lang w:eastAsia="zh-CN"/>
        </w:rPr>
        <w:t>，</w:t>
      </w:r>
      <w:r>
        <w:rPr>
          <w:rFonts w:hint="eastAsia" w:ascii="宋体" w:hAnsi="宋体"/>
          <w:color w:val="auto"/>
          <w:sz w:val="24"/>
        </w:rPr>
        <w:t>介绍钢筋混凝土结构相关规范和图集要求，使学生掌握建筑结构施工图平法制图规则和构造要求。</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color w:val="auto"/>
          <w:sz w:val="24"/>
        </w:rPr>
      </w:pPr>
      <w:r>
        <w:rPr>
          <w:rFonts w:hint="eastAsia" w:ascii="宋体" w:hAnsi="宋体"/>
          <w:b/>
          <w:bCs/>
          <w:color w:val="auto"/>
          <w:sz w:val="24"/>
          <w:lang w:val="en-US" w:eastAsia="zh-CN"/>
        </w:rPr>
        <w:t>教学要求</w:t>
      </w:r>
      <w:r>
        <w:rPr>
          <w:rFonts w:hint="eastAsia" w:ascii="宋体" w:hAnsi="宋体"/>
          <w:b/>
          <w:bCs/>
          <w:color w:val="auto"/>
          <w:sz w:val="24"/>
        </w:rPr>
        <w:t>：</w:t>
      </w:r>
      <w:r>
        <w:rPr>
          <w:color w:val="auto"/>
          <w:sz w:val="24"/>
        </w:rPr>
        <w:t>通过《建筑结构》课程的学习，使学生了解建筑力学、建筑结构和建筑工程之间的联系，理解和体会建筑工程；使学生掌握建筑结构方面的基本概念、基本知识和基本技能，学会将力学、施工、设计方面的知识融会贯通，</w:t>
      </w:r>
      <w:r>
        <w:rPr>
          <w:rFonts w:hint="eastAsia" w:ascii="宋体" w:hAnsi="宋体"/>
          <w:color w:val="auto"/>
          <w:sz w:val="24"/>
        </w:rPr>
        <w:t>利用建筑工程仿真识图软件，结合1</w:t>
      </w:r>
      <w:r>
        <w:rPr>
          <w:rFonts w:hint="eastAsia" w:ascii="宋体" w:hAnsi="宋体"/>
          <w:color w:val="auto"/>
          <w:sz w:val="24"/>
          <w:lang w:val="en-US" w:eastAsia="zh-CN"/>
        </w:rPr>
        <w:t>6</w:t>
      </w:r>
      <w:r>
        <w:rPr>
          <w:rFonts w:hint="eastAsia" w:ascii="宋体" w:hAnsi="宋体"/>
          <w:color w:val="auto"/>
          <w:sz w:val="24"/>
        </w:rPr>
        <w:t>G101-1系列图集，通过钢筋三维图像加深学生对建筑结构施工图的理解。</w:t>
      </w:r>
      <w:r>
        <w:rPr>
          <w:color w:val="auto"/>
          <w:sz w:val="24"/>
        </w:rPr>
        <w:t>学会处理与建筑结构相关的施工现场的实际技术问题；使学生充分了解各种建筑结构形式的基本力学特点、应用范围、材料性能、结构体系、抗震设计的基本知识以及施工中必须采用的设备和技术措施；使学生学会从工程中抽象出计算简图，用近似、简化的方法快速计算和比较各种建筑建造时的施工技术措施和方案，使得建筑力学、建筑结构和建筑建造协调一致</w:t>
      </w:r>
      <w:r>
        <w:rPr>
          <w:rFonts w:hint="eastAsia"/>
          <w:color w:val="auto"/>
          <w:sz w:val="24"/>
          <w:lang w:eastAsia="zh-CN"/>
        </w:rPr>
        <w:t>，</w:t>
      </w:r>
      <w:r>
        <w:rPr>
          <w:rFonts w:hint="eastAsia"/>
          <w:color w:val="auto"/>
          <w:sz w:val="24"/>
          <w:lang w:val="en-US" w:eastAsia="zh-CN"/>
        </w:rPr>
        <w:t>为</w:t>
      </w:r>
      <w:r>
        <w:rPr>
          <w:color w:val="auto"/>
          <w:sz w:val="24"/>
        </w:rPr>
        <w:t>学生将来从事建筑工程设计、施工、管理工作</w:t>
      </w:r>
      <w:r>
        <w:rPr>
          <w:rFonts w:hint="eastAsia"/>
          <w:color w:val="auto"/>
          <w:sz w:val="24"/>
          <w:lang w:val="en-US" w:eastAsia="zh-CN"/>
        </w:rPr>
        <w:t>提供有效</w:t>
      </w:r>
      <w:r>
        <w:rPr>
          <w:color w:val="auto"/>
          <w:sz w:val="24"/>
        </w:rPr>
        <w:t>的</w:t>
      </w:r>
      <w:r>
        <w:rPr>
          <w:rFonts w:hint="eastAsia"/>
          <w:color w:val="auto"/>
          <w:sz w:val="24"/>
          <w:lang w:val="en-US" w:eastAsia="zh-CN"/>
        </w:rPr>
        <w:t>帮助</w:t>
      </w:r>
      <w:r>
        <w:rPr>
          <w:color w:val="auto"/>
          <w:sz w:val="24"/>
        </w:rPr>
        <w:t>。</w:t>
      </w:r>
    </w:p>
    <w:p>
      <w:pPr>
        <w:numPr>
          <w:ilvl w:val="0"/>
          <w:numId w:val="0"/>
        </w:numPr>
        <w:spacing w:line="360" w:lineRule="auto"/>
        <w:ind w:leftChars="0" w:firstLine="450" w:firstLineChars="200"/>
        <w:outlineLvl w:val="0"/>
        <w:rPr>
          <w:rFonts w:ascii="宋体" w:hAnsi="宋体"/>
          <w:b/>
          <w:color w:val="auto"/>
          <w:spacing w:val="-8"/>
          <w:sz w:val="24"/>
        </w:rPr>
      </w:pPr>
      <w:r>
        <w:rPr>
          <w:rFonts w:hint="eastAsia" w:ascii="宋体" w:hAnsi="宋体"/>
          <w:b/>
          <w:color w:val="auto"/>
          <w:spacing w:val="-8"/>
          <w:sz w:val="24"/>
          <w:lang w:val="en-US" w:eastAsia="zh-CN"/>
        </w:rPr>
        <w:t>6、</w:t>
      </w:r>
      <w:r>
        <w:rPr>
          <w:rFonts w:ascii="宋体" w:hAnsi="宋体"/>
          <w:b/>
          <w:color w:val="auto"/>
          <w:spacing w:val="-8"/>
          <w:sz w:val="24"/>
        </w:rPr>
        <w:t>建筑工程施工测量</w:t>
      </w:r>
    </w:p>
    <w:p>
      <w:pPr>
        <w:spacing w:line="360" w:lineRule="auto"/>
        <w:ind w:firstLine="472" w:firstLineChars="196"/>
        <w:rPr>
          <w:rFonts w:ascii="宋体" w:hAnsi="宋体"/>
          <w:color w:val="auto"/>
          <w:sz w:val="24"/>
        </w:rPr>
      </w:pPr>
      <w:r>
        <w:rPr>
          <w:rFonts w:hint="eastAsia" w:ascii="宋体" w:hAnsi="宋体" w:eastAsia="宋体" w:cs="宋体"/>
          <w:b/>
          <w:bCs/>
          <w:color w:val="auto"/>
          <w:kern w:val="0"/>
          <w:sz w:val="24"/>
          <w:szCs w:val="24"/>
        </w:rPr>
        <w:t>课程目标：</w:t>
      </w:r>
      <w:r>
        <w:rPr>
          <w:rFonts w:ascii="宋体" w:hAnsi="宋体"/>
          <w:color w:val="auto"/>
          <w:sz w:val="24"/>
        </w:rPr>
        <w:t>《建筑工程施工测量》课程是高职建筑工程技术专业的专业核心课程。主要培养建筑工程施工技术人员从事建筑工程项目建设全过程的控制测量、定位放线、施工测量、变形测量和竣工测量等测量工作必备的基本素质和能力。</w:t>
      </w:r>
    </w:p>
    <w:p>
      <w:pPr>
        <w:spacing w:line="360" w:lineRule="auto"/>
        <w:ind w:firstLine="472" w:firstLineChars="196"/>
        <w:rPr>
          <w:rFonts w:hint="eastAsia" w:ascii="宋体" w:hAnsi="宋体"/>
          <w:color w:val="auto"/>
          <w:sz w:val="24"/>
        </w:rPr>
      </w:pPr>
      <w:r>
        <w:rPr>
          <w:rFonts w:hint="eastAsia" w:ascii="宋体" w:hAnsi="宋体"/>
          <w:b/>
          <w:bCs/>
          <w:color w:val="auto"/>
          <w:sz w:val="24"/>
        </w:rPr>
        <w:t>主要内容：</w:t>
      </w:r>
      <w:r>
        <w:rPr>
          <w:rFonts w:hint="eastAsia" w:ascii="宋体" w:hAnsi="宋体"/>
          <w:color w:val="auto"/>
          <w:sz w:val="24"/>
        </w:rPr>
        <w:t>通过本课程的学习</w:t>
      </w:r>
      <w:r>
        <w:rPr>
          <w:rFonts w:hint="eastAsia" w:ascii="宋体" w:hAnsi="宋体"/>
          <w:color w:val="auto"/>
          <w:sz w:val="24"/>
          <w:lang w:val="en-US" w:eastAsia="zh-CN"/>
        </w:rPr>
        <w:t>让</w:t>
      </w:r>
      <w:r>
        <w:rPr>
          <w:rFonts w:hint="eastAsia" w:ascii="宋体" w:hAnsi="宋体"/>
          <w:color w:val="auto"/>
          <w:sz w:val="24"/>
        </w:rPr>
        <w:t>学生掌握一般测量仪器和工具的使用技术，掌握工程测量基本工作的原理、方法及注意事项，在建筑施工中能进行建筑施工测量的工作，并能进行简单地形图测绘工作。</w:t>
      </w:r>
    </w:p>
    <w:p>
      <w:pPr>
        <w:spacing w:line="360" w:lineRule="auto"/>
        <w:ind w:firstLine="472" w:firstLineChars="196"/>
        <w:rPr>
          <w:rFonts w:hint="eastAsia" w:ascii="宋体" w:hAnsi="宋体"/>
          <w:color w:val="auto"/>
          <w:sz w:val="24"/>
        </w:rPr>
      </w:pPr>
      <w:r>
        <w:rPr>
          <w:rFonts w:hint="eastAsia" w:ascii="宋体" w:hAnsi="宋体" w:eastAsia="宋体" w:cs="宋体"/>
          <w:b/>
          <w:bCs/>
          <w:color w:val="auto"/>
          <w:kern w:val="0"/>
          <w:sz w:val="24"/>
          <w:szCs w:val="24"/>
        </w:rPr>
        <w:t>教学要求：</w:t>
      </w:r>
      <w:r>
        <w:rPr>
          <w:rFonts w:hint="eastAsia" w:ascii="宋体" w:hAnsi="宋体"/>
          <w:color w:val="auto"/>
          <w:sz w:val="24"/>
        </w:rPr>
        <w:t>本课程是一门专业必修课，理论内容有一定深度，实践应用性有很强。为了达到预期的教学目标，必须精选内容，贯彻理论联系实际的教学方法和原则。教学方法上宜采用课堂讲授与课内实验相结合的教学方式进行授课，以应用为目的，以必需、够用为度，以讲清概念、强化应用为重点，注重在实践中加强学生对基本理论的理解和深入认识，使学生学完后具有一定的独立观测操作能力。</w:t>
      </w:r>
    </w:p>
    <w:p>
      <w:pPr>
        <w:spacing w:line="360" w:lineRule="auto"/>
        <w:ind w:firstLine="482" w:firstLineChars="200"/>
        <w:rPr>
          <w:rFonts w:ascii="宋体" w:hAnsi="宋体" w:cs="宋体"/>
          <w:b/>
          <w:bCs/>
          <w:sz w:val="24"/>
          <w:szCs w:val="24"/>
        </w:rPr>
      </w:pPr>
      <w:r>
        <w:rPr>
          <w:rFonts w:hint="eastAsia" w:ascii="宋体" w:hAnsi="宋体" w:cs="宋体"/>
          <w:b/>
          <w:bCs/>
          <w:sz w:val="24"/>
          <w:szCs w:val="24"/>
          <w:lang w:val="en-US" w:eastAsia="zh-CN"/>
        </w:rPr>
        <w:t>7</w:t>
      </w:r>
      <w:r>
        <w:rPr>
          <w:rFonts w:hint="eastAsia" w:ascii="宋体" w:hAnsi="宋体" w:cs="宋体"/>
          <w:b/>
          <w:bCs/>
          <w:sz w:val="24"/>
          <w:szCs w:val="24"/>
        </w:rPr>
        <w:t>.地下建筑结构</w:t>
      </w:r>
    </w:p>
    <w:p>
      <w:pPr>
        <w:spacing w:line="360" w:lineRule="auto"/>
        <w:ind w:firstLine="482" w:firstLineChars="200"/>
        <w:rPr>
          <w:rFonts w:ascii="宋体" w:hAnsi="宋体" w:cs="宋体"/>
          <w:sz w:val="24"/>
        </w:rPr>
      </w:pPr>
      <w:r>
        <w:rPr>
          <w:b/>
          <w:sz w:val="24"/>
        </w:rPr>
        <w:t>课程目标</w:t>
      </w:r>
      <w:r>
        <w:rPr>
          <w:rFonts w:hint="eastAsia"/>
          <w:b/>
          <w:sz w:val="24"/>
        </w:rPr>
        <w:t>：</w:t>
      </w:r>
      <w:r>
        <w:rPr>
          <w:rFonts w:hint="eastAsia" w:ascii="宋体" w:hAnsi="宋体"/>
          <w:sz w:val="24"/>
        </w:rPr>
        <w:t>本课程的教学目标是要通过对本课程的学习，使学生掌握地下建筑的施工方法、所用设备使用等内容。知识方面达到</w:t>
      </w:r>
      <w:r>
        <w:rPr>
          <w:rFonts w:hint="eastAsia" w:ascii="宋体" w:hAnsi="宋体" w:cs="宋体"/>
          <w:sz w:val="24"/>
        </w:rPr>
        <w:t>掌握基本概念、施工设备、技术等，学生能应用所学的知识解决生活和工程实际中的问题。</w:t>
      </w:r>
      <w:r>
        <w:rPr>
          <w:rFonts w:hint="eastAsia" w:ascii="宋体" w:hAnsi="宋体"/>
          <w:sz w:val="24"/>
        </w:rPr>
        <w:t>能力方面达到</w:t>
      </w:r>
      <w:r>
        <w:rPr>
          <w:rFonts w:hint="eastAsia" w:ascii="宋体" w:hAnsi="宋体" w:cs="宋体"/>
          <w:sz w:val="24"/>
        </w:rPr>
        <w:t>通过各个教学环节，培养学生观察思考、安全施工、技术管理的能力。</w:t>
      </w:r>
    </w:p>
    <w:p>
      <w:pPr>
        <w:spacing w:line="360" w:lineRule="auto"/>
        <w:ind w:firstLine="482" w:firstLineChars="200"/>
        <w:rPr>
          <w:rFonts w:ascii="宋体" w:hAnsi="宋体"/>
          <w:sz w:val="24"/>
        </w:rPr>
      </w:pPr>
      <w:r>
        <w:rPr>
          <w:b/>
          <w:sz w:val="24"/>
        </w:rPr>
        <w:t>主要内容</w:t>
      </w:r>
      <w:r>
        <w:rPr>
          <w:rFonts w:hint="eastAsia"/>
          <w:b/>
          <w:sz w:val="24"/>
        </w:rPr>
        <w:t>：</w:t>
      </w:r>
      <w:r>
        <w:rPr>
          <w:rFonts w:hint="eastAsia" w:ascii="宋体" w:hAnsi="宋体"/>
          <w:sz w:val="24"/>
        </w:rPr>
        <w:t>本课程是一门重要的专业课，本着学生的实际情况和教学时数，以及后续课程学习的需要，教学内容有绪论、地下建筑结构的荷载、弹性地基梁理论、地下建筑结构的计算方法、地下工程数值计算方法、浅埋式结构、附建式地下结构、沉井与沉箱结构、地下连续墙结构、盾构法隧道结构、沉管结构、基坑围护结构、顶管、管幕及箱涵结构、整体式隧道结构、喷锚支护、特殊结构等。</w:t>
      </w:r>
    </w:p>
    <w:p>
      <w:pPr>
        <w:tabs>
          <w:tab w:val="left" w:pos="2655"/>
        </w:tabs>
        <w:spacing w:line="360" w:lineRule="auto"/>
        <w:ind w:firstLine="482" w:firstLineChars="200"/>
        <w:rPr>
          <w:rFonts w:ascii="宋体" w:hAnsi="宋体"/>
          <w:sz w:val="24"/>
        </w:rPr>
      </w:pPr>
      <w:r>
        <w:rPr>
          <w:b/>
          <w:sz w:val="24"/>
        </w:rPr>
        <w:t>教学要求</w:t>
      </w:r>
      <w:r>
        <w:rPr>
          <w:rFonts w:hint="eastAsia"/>
          <w:b/>
          <w:sz w:val="24"/>
        </w:rPr>
        <w:t>：</w:t>
      </w:r>
      <w:r>
        <w:rPr>
          <w:rFonts w:hint="eastAsia" w:ascii="宋体"/>
          <w:sz w:val="24"/>
        </w:rPr>
        <w:t>通过本课程的学习，指导学生完成教学任务，主要要求为：1、掌握地下建筑结构的荷载。2、弄清楚地下建筑结构的计算方法。3、了解</w:t>
      </w:r>
      <w:r>
        <w:rPr>
          <w:rFonts w:hint="eastAsia" w:ascii="宋体" w:hAnsi="宋体"/>
          <w:sz w:val="24"/>
        </w:rPr>
        <w:t>附建式地下结构、沉井与沉箱结构、地下连续墙结构、盾构法隧道结构、沉管结构、基坑围护结构、顶管、管幕及箱涵结构、整体式隧道结构、喷锚支护等施工工艺、设备、技术特点</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outlineLvl w:val="0"/>
        <w:rPr>
          <w:rFonts w:hint="eastAsia" w:ascii="宋体" w:hAnsi="宋体"/>
          <w:b/>
          <w:sz w:val="24"/>
          <w:szCs w:val="24"/>
          <w:lang w:val="en-US" w:eastAsia="zh-CN"/>
        </w:rPr>
      </w:pPr>
      <w:r>
        <w:rPr>
          <w:rFonts w:hint="eastAsia" w:ascii="宋体" w:hAnsi="宋体"/>
          <w:b/>
          <w:sz w:val="24"/>
          <w:szCs w:val="24"/>
          <w:lang w:val="en-US" w:eastAsia="zh-CN"/>
        </w:rPr>
        <w:t>工程地质与土力学基础课程</w:t>
      </w:r>
    </w:p>
    <w:p>
      <w:pPr>
        <w:spacing w:line="360" w:lineRule="auto"/>
        <w:ind w:firstLine="482" w:firstLineChars="200"/>
        <w:rPr>
          <w:rFonts w:hint="eastAsia" w:ascii="宋体"/>
          <w:sz w:val="24"/>
          <w:lang w:val="en-US" w:eastAsia="zh-CN"/>
        </w:rPr>
      </w:pPr>
      <w:r>
        <w:rPr>
          <w:b/>
          <w:sz w:val="24"/>
        </w:rPr>
        <w:t>课程目标</w:t>
      </w:r>
      <w:r>
        <w:rPr>
          <w:rFonts w:hint="eastAsia"/>
          <w:b/>
          <w:sz w:val="24"/>
        </w:rPr>
        <w:t>：</w:t>
      </w:r>
      <w:r>
        <w:rPr>
          <w:rFonts w:hint="eastAsia" w:ascii="宋体"/>
          <w:sz w:val="24"/>
          <w:lang w:val="en-US" w:eastAsia="zh-CN"/>
        </w:rPr>
        <w:t>本课程的教学目标是：了解三大岩类的工程性质（建材应用）、了解地质构造的基础理论（勘察应用），了解不良地质现象产生原因（工程稳定及破坏分析）；掌握土质方面的基本性质（土的物理指标），熟练地把土的物理、力学性质应用到工程中。并使学生学会应用土力学【土中应力（土的受力分析）、土体的压缩性质（沉降分析）、土体强度（地基承载力分析）、土压力（挡墙应用）】基本理论检测、分析、计算、解决工程问题。</w:t>
      </w:r>
    </w:p>
    <w:p>
      <w:pPr>
        <w:spacing w:line="360" w:lineRule="auto"/>
        <w:ind w:firstLine="482" w:firstLineChars="200"/>
        <w:rPr>
          <w:rFonts w:hint="eastAsia" w:ascii="宋体" w:hAnsi="宋体"/>
          <w:b w:val="0"/>
          <w:bCs/>
          <w:sz w:val="24"/>
          <w:szCs w:val="24"/>
          <w:lang w:eastAsia="zh-CN"/>
        </w:rPr>
      </w:pPr>
      <w:r>
        <w:rPr>
          <w:b/>
          <w:sz w:val="24"/>
        </w:rPr>
        <w:t>主要内容</w:t>
      </w:r>
      <w:r>
        <w:rPr>
          <w:rFonts w:hint="eastAsia"/>
          <w:b/>
          <w:sz w:val="24"/>
        </w:rPr>
        <w:t>：</w:t>
      </w:r>
      <w:r>
        <w:rPr>
          <w:rFonts w:hint="eastAsia" w:ascii="宋体" w:hAnsi="宋体"/>
          <w:b w:val="0"/>
          <w:bCs/>
          <w:sz w:val="24"/>
          <w:szCs w:val="24"/>
        </w:rPr>
        <w:t>本课程根据行业专家对本专业所涵盖的岗位群（专业骨干课程）进行的任务和职业能力分析，同时遵循高等职业院校学生的认知规律，紧密结合职业资格证书中相关考核要求，确定本课程的工作模块和课程内容。为了充分体现任务引领、实践导向课程思想，本课程按地质矿物岩石认知、地质构造认知、常见不良地质现象产生原因的分析、土的基本性质认知、土中应力、土体的压缩性质、土体强度及地基承载力分析、土压力计算等8个方面进行课程内容安排，选择具有代表性的土工试验，加深课程内</w:t>
      </w:r>
      <w:r>
        <w:rPr>
          <w:rFonts w:hint="eastAsia" w:ascii="宋体" w:hAnsi="宋体"/>
          <w:b w:val="0"/>
          <w:bCs/>
          <w:sz w:val="24"/>
          <w:szCs w:val="24"/>
          <w:lang w:eastAsia="zh-CN"/>
        </w:rPr>
        <w:t>容的理解。</w:t>
      </w:r>
    </w:p>
    <w:p>
      <w:pPr>
        <w:tabs>
          <w:tab w:val="left" w:pos="2655"/>
        </w:tabs>
        <w:spacing w:line="360" w:lineRule="auto"/>
        <w:ind w:firstLine="482" w:firstLineChars="200"/>
        <w:rPr>
          <w:rFonts w:hint="eastAsia" w:ascii="宋体" w:hAnsi="宋体"/>
          <w:b/>
          <w:sz w:val="24"/>
          <w:szCs w:val="24"/>
        </w:rPr>
      </w:pPr>
      <w:r>
        <w:rPr>
          <w:b/>
          <w:sz w:val="24"/>
        </w:rPr>
        <w:t>教学要求</w:t>
      </w:r>
      <w:r>
        <w:rPr>
          <w:rFonts w:hint="eastAsia"/>
          <w:b/>
          <w:sz w:val="24"/>
        </w:rPr>
        <w:t>：</w:t>
      </w:r>
      <w:r>
        <w:rPr>
          <w:rFonts w:hint="eastAsia" w:ascii="宋体" w:hAnsi="宋体"/>
          <w:b w:val="0"/>
          <w:bCs/>
          <w:sz w:val="24"/>
          <w:szCs w:val="24"/>
          <w:lang w:eastAsia="zh-CN"/>
        </w:rPr>
        <w:t>掌握土的物理性质指标 ；掌握土中应力的一般计算；掌握土的密度试验、含水量试验、固结试验和直剪试验等试验的方法与步骤； 掌握土体沉降分析 ；掌握土体强度理论和地基承载力计算方法；能用三大类岩类的基本性质选用工程建筑材料；能绘制玫瑰花图、分析岩石节理得分布情况；能根据地质构造、地貌特征分析不良地质现象成因与类型及提出防治建议； 能正确操作土的基本性质试验计算指标（土工试验） 能土中应力的一般计算 ；能用地基沉降估算的方法（沉降观测）；能应用规范公式计算地基承载力（验算、复合）；）能计算挡土墙的土压力；（基坑、挡墙）</w:t>
      </w:r>
    </w:p>
    <w:p>
      <w:pPr>
        <w:numPr>
          <w:ilvl w:val="0"/>
          <w:numId w:val="2"/>
        </w:numPr>
        <w:spacing w:line="360" w:lineRule="auto"/>
        <w:ind w:left="0" w:leftChars="0" w:firstLine="0" w:firstLineChars="0"/>
        <w:outlineLvl w:val="0"/>
        <w:rPr>
          <w:rFonts w:hint="eastAsia"/>
          <w:b/>
          <w:bCs/>
          <w:sz w:val="24"/>
          <w:szCs w:val="24"/>
          <w:lang w:eastAsia="zh-CN"/>
        </w:rPr>
      </w:pPr>
      <w:r>
        <w:rPr>
          <w:rFonts w:hint="eastAsia"/>
          <w:b/>
          <w:bCs/>
          <w:sz w:val="24"/>
          <w:szCs w:val="24"/>
          <w:lang w:eastAsia="zh-CN"/>
        </w:rPr>
        <w:t>岩土工程勘察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outlineLvl w:val="0"/>
        <w:rPr>
          <w:rFonts w:hint="eastAsia" w:ascii="宋体" w:hAnsi="宋体"/>
          <w:b w:val="0"/>
          <w:bCs/>
          <w:sz w:val="24"/>
          <w:szCs w:val="24"/>
          <w:lang w:eastAsia="zh-CN"/>
        </w:rPr>
      </w:pPr>
      <w:r>
        <w:rPr>
          <w:rFonts w:hint="eastAsia" w:ascii="宋体" w:hAnsi="宋体"/>
          <w:b/>
          <w:bCs w:val="0"/>
          <w:sz w:val="24"/>
          <w:szCs w:val="24"/>
          <w:lang w:eastAsia="zh-CN"/>
        </w:rPr>
        <w:t>课程目标：</w:t>
      </w:r>
      <w:r>
        <w:rPr>
          <w:rFonts w:hint="eastAsia" w:ascii="宋体" w:hAnsi="宋体"/>
          <w:b w:val="0"/>
          <w:bCs/>
          <w:sz w:val="24"/>
          <w:szCs w:val="24"/>
          <w:lang w:eastAsia="zh-CN"/>
        </w:rPr>
        <w:t>本课程主要培养学生依据行业规范标准，针对不同建筑，选择合适的勘察方法，确定建筑场地的工程地质、水文地质条件，岩土特征、场地地震效应等参数，能对场地作出客观综合评价，并推荐合理的提高地基承载力及基坑支护方法，初步具备编写勘察报告的能力；为建筑物地基处理、基础和结构设计提供准确可靠的岩土参数指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outlineLvl w:val="0"/>
        <w:rPr>
          <w:rFonts w:hint="eastAsia" w:ascii="宋体" w:hAnsi="宋体"/>
          <w:b w:val="0"/>
          <w:bCs/>
          <w:sz w:val="24"/>
          <w:szCs w:val="24"/>
          <w:lang w:eastAsia="zh-CN"/>
        </w:rPr>
      </w:pPr>
      <w:r>
        <w:rPr>
          <w:rFonts w:hint="eastAsia" w:ascii="宋体" w:hAnsi="宋体"/>
          <w:b/>
          <w:bCs w:val="0"/>
          <w:sz w:val="24"/>
          <w:szCs w:val="24"/>
          <w:lang w:eastAsia="zh-CN"/>
        </w:rPr>
        <w:t>主要内容：</w:t>
      </w:r>
      <w:r>
        <w:rPr>
          <w:rFonts w:hint="eastAsia" w:ascii="宋体" w:hAnsi="宋体"/>
          <w:b w:val="0"/>
          <w:bCs/>
          <w:sz w:val="24"/>
          <w:szCs w:val="24"/>
          <w:lang w:eastAsia="zh-CN"/>
        </w:rPr>
        <w:t>岩土工程勘察分级和岩土分类、各类建筑岩土工程勘察、不良地质作用和地质灾害、特殊性岩土及地下水的勘察要求，岩土测试、现场检验监测方法，岩土参数的分析选用，勘察报告的编制等。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outlineLvl w:val="0"/>
        <w:rPr>
          <w:rFonts w:hint="eastAsia" w:ascii="宋体" w:hAnsi="宋体"/>
          <w:b w:val="0"/>
          <w:bCs/>
          <w:sz w:val="24"/>
          <w:szCs w:val="24"/>
          <w:lang w:eastAsia="zh-CN"/>
        </w:rPr>
      </w:pPr>
      <w:r>
        <w:rPr>
          <w:rFonts w:hint="eastAsia" w:ascii="宋体" w:hAnsi="宋体"/>
          <w:b/>
          <w:bCs w:val="0"/>
          <w:sz w:val="24"/>
          <w:szCs w:val="24"/>
          <w:lang w:eastAsia="zh-CN"/>
        </w:rPr>
        <w:t>教学要求：</w:t>
      </w:r>
      <w:r>
        <w:rPr>
          <w:rFonts w:hint="eastAsia" w:ascii="宋体" w:hAnsi="宋体"/>
          <w:b w:val="0"/>
          <w:bCs/>
          <w:sz w:val="24"/>
          <w:szCs w:val="24"/>
          <w:lang w:eastAsia="zh-CN"/>
        </w:rPr>
        <w:t>通过对岩土工程勘察的学习与实训，基于工作过程的学习，采用任务驱动、“教、学、做一体化”的教学方法使学生全面学习和掌握各类建筑工程的岩土工程勘察要求和方法、土工试验的操作与数据的整理，能够完成图表部分如平面图，剖面图，钻孔柱状图，土工试验成果表，物理力学指标统计表，分层土工试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b w:val="0"/>
          <w:bCs/>
          <w:sz w:val="24"/>
          <w:szCs w:val="24"/>
          <w:lang w:eastAsia="zh-CN"/>
        </w:rPr>
      </w:pPr>
      <w:r>
        <w:rPr>
          <w:rFonts w:hint="eastAsia" w:ascii="宋体" w:hAnsi="宋体"/>
          <w:b w:val="0"/>
          <w:bCs/>
          <w:sz w:val="24"/>
          <w:szCs w:val="24"/>
          <w:lang w:eastAsia="zh-CN"/>
        </w:rPr>
        <w:t>报告表等，初步具备对建筑场地评价和勘察报告编写的能力。培养具有获取、分析、归纳、交流、使用信息和新技术的能力；具有良好的职业道德和敬业精神；具有团队意识及妥善处理人际关系的能力；具有沟通与交流能力；具有计划组织能力和团队协作能力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b/>
          <w:sz w:val="24"/>
          <w:szCs w:val="24"/>
          <w:lang w:val="en-US" w:eastAsia="zh-CN"/>
        </w:rPr>
      </w:pPr>
      <w:r>
        <w:rPr>
          <w:rFonts w:hint="eastAsia" w:ascii="宋体" w:hAnsi="宋体"/>
          <w:b/>
          <w:sz w:val="24"/>
          <w:szCs w:val="24"/>
          <w:lang w:val="en-US" w:eastAsia="zh-CN"/>
        </w:rPr>
        <w:t>10、地下工程施工技术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outlineLvl w:val="0"/>
        <w:rPr>
          <w:rFonts w:hint="eastAsia" w:ascii="宋体" w:hAnsi="宋体"/>
          <w:b w:val="0"/>
          <w:bCs/>
          <w:sz w:val="24"/>
          <w:szCs w:val="24"/>
          <w:lang w:val="en-US" w:eastAsia="zh-CN"/>
        </w:rPr>
      </w:pPr>
      <w:r>
        <w:rPr>
          <w:rFonts w:hint="eastAsia" w:ascii="宋体" w:hAnsi="宋体"/>
          <w:b/>
          <w:sz w:val="24"/>
          <w:szCs w:val="24"/>
          <w:lang w:val="en-US" w:eastAsia="zh-CN"/>
        </w:rPr>
        <w:t>教学目标：</w:t>
      </w:r>
      <w:r>
        <w:rPr>
          <w:rFonts w:hint="eastAsia" w:ascii="宋体" w:hAnsi="宋体"/>
          <w:b w:val="0"/>
          <w:bCs/>
          <w:sz w:val="24"/>
          <w:szCs w:val="24"/>
          <w:lang w:val="en-US" w:eastAsia="zh-CN"/>
        </w:rPr>
        <w:t>本课程旨在培养学生熟练掌握各种地下隧道工程施工方法的基本原理、适用条件及施工工艺等内容，并能够根据实际工程情况选择经济安全合理的施工方法。为学生毕业后从事地铁、市政、水利、交通等行业地下工程建设打下坚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b w:val="0"/>
          <w:bCs/>
          <w:sz w:val="24"/>
          <w:szCs w:val="24"/>
          <w:lang w:val="en-US" w:eastAsia="zh-CN"/>
        </w:rPr>
      </w:pPr>
      <w:r>
        <w:rPr>
          <w:rFonts w:hint="eastAsia" w:ascii="宋体" w:hAnsi="宋体"/>
          <w:b w:val="0"/>
          <w:bCs/>
          <w:sz w:val="24"/>
          <w:szCs w:val="24"/>
          <w:lang w:val="en-US" w:eastAsia="zh-CN"/>
        </w:rPr>
        <w:t>的基础。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outlineLvl w:val="0"/>
        <w:rPr>
          <w:rFonts w:hint="eastAsia" w:ascii="宋体" w:hAnsi="宋体"/>
          <w:b w:val="0"/>
          <w:bCs/>
          <w:sz w:val="24"/>
          <w:szCs w:val="24"/>
          <w:lang w:val="en-US" w:eastAsia="zh-CN"/>
        </w:rPr>
      </w:pPr>
      <w:r>
        <w:rPr>
          <w:rFonts w:hint="eastAsia" w:ascii="宋体" w:hAnsi="宋体"/>
          <w:b/>
          <w:bCs w:val="0"/>
          <w:sz w:val="24"/>
          <w:szCs w:val="24"/>
          <w:lang w:val="en-US" w:eastAsia="zh-CN"/>
        </w:rPr>
        <w:t>主要内容：</w:t>
      </w:r>
      <w:r>
        <w:rPr>
          <w:rFonts w:hint="eastAsia" w:ascii="宋体" w:hAnsi="宋体"/>
          <w:b w:val="0"/>
          <w:bCs/>
          <w:sz w:val="24"/>
          <w:szCs w:val="24"/>
          <w:lang w:val="en-US" w:eastAsia="zh-CN"/>
        </w:rPr>
        <w:t>掘进法、钻爆法、新奥法、盾构法、明挖法、暗挖法、顶管法、逆作法的施工及地下工程支护和防水技术等。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both"/>
        <w:textAlignment w:val="auto"/>
        <w:outlineLvl w:val="0"/>
        <w:rPr>
          <w:rFonts w:hint="default" w:ascii="宋体" w:hAnsi="宋体"/>
          <w:b w:val="0"/>
          <w:bCs/>
          <w:sz w:val="24"/>
          <w:szCs w:val="24"/>
          <w:lang w:val="en-US" w:eastAsia="zh-CN"/>
        </w:rPr>
      </w:pPr>
      <w:r>
        <w:rPr>
          <w:rFonts w:hint="eastAsia" w:ascii="宋体" w:hAnsi="宋体"/>
          <w:b/>
          <w:bCs w:val="0"/>
          <w:sz w:val="24"/>
          <w:szCs w:val="24"/>
          <w:lang w:val="en-US" w:eastAsia="zh-CN"/>
        </w:rPr>
        <w:t>教学要求：</w:t>
      </w:r>
      <w:r>
        <w:rPr>
          <w:rFonts w:hint="eastAsia" w:ascii="宋体" w:hAnsi="宋体"/>
          <w:b w:val="0"/>
          <w:bCs/>
          <w:sz w:val="24"/>
          <w:szCs w:val="24"/>
          <w:lang w:val="en-US" w:eastAsia="zh-CN"/>
        </w:rPr>
        <w:t>通过课堂教学、综合实训及现场参观等形式的教学方法，使学生熟悉各种地下隧道工程施工方法的适用条件及技术要领；地下水的防治方法；并初步具备编制施工组织方案的能力。培养具有吃苦耐劳的精神和科学严谨的态度；具有自学能力、分析问题的能力；具有有效利用和合理整合信息资源的能力；具有良好的职业道德和敬业精神；具有团队意识及妥善处理人际关系的能力；具有沟通与交流能力；具有计划组织能力和团队协作能力。</w:t>
      </w:r>
    </w:p>
    <w:p>
      <w:pPr>
        <w:spacing w:line="360" w:lineRule="auto"/>
        <w:rPr>
          <w:rFonts w:ascii="宋体" w:hAnsi="宋体"/>
          <w:b/>
          <w:sz w:val="24"/>
        </w:rPr>
      </w:pPr>
      <w:r>
        <w:rPr>
          <w:rFonts w:hint="eastAsia" w:ascii="宋体" w:hAnsi="宋体"/>
          <w:b/>
          <w:sz w:val="24"/>
          <w:lang w:val="en-US" w:eastAsia="zh-CN"/>
        </w:rPr>
        <w:t>11</w:t>
      </w:r>
      <w:r>
        <w:rPr>
          <w:rFonts w:hint="eastAsia" w:ascii="宋体" w:hAnsi="宋体"/>
          <w:b/>
          <w:sz w:val="24"/>
        </w:rPr>
        <w:t>.地下通风与空调</w:t>
      </w:r>
    </w:p>
    <w:p>
      <w:pPr>
        <w:spacing w:line="360" w:lineRule="auto"/>
        <w:ind w:firstLine="482" w:firstLineChars="200"/>
        <w:rPr>
          <w:color w:val="000000"/>
          <w:sz w:val="24"/>
        </w:rPr>
      </w:pPr>
      <w:r>
        <w:rPr>
          <w:rFonts w:hint="eastAsia" w:ascii="Arial" w:hAnsi="Arial" w:cs="Arial"/>
          <w:b/>
          <w:color w:val="333333"/>
          <w:sz w:val="24"/>
          <w:szCs w:val="24"/>
          <w:shd w:val="clear" w:color="auto" w:fill="FFFFFF"/>
        </w:rPr>
        <w:t>课程目标：</w:t>
      </w:r>
      <w:r>
        <w:rPr>
          <w:rFonts w:hint="eastAsia" w:ascii="宋体" w:hAnsi="宋体" w:cs="宋体"/>
          <w:color w:val="000000"/>
          <w:kern w:val="0"/>
          <w:sz w:val="24"/>
        </w:rPr>
        <w:t>通过本课程的学习，</w:t>
      </w:r>
      <w:r>
        <w:rPr>
          <w:rFonts w:hint="eastAsia"/>
          <w:color w:val="000000"/>
          <w:sz w:val="24"/>
        </w:rPr>
        <w:t>培养学生具备</w:t>
      </w:r>
      <w:r>
        <w:rPr>
          <w:rFonts w:hint="eastAsia" w:ascii="宋体" w:hAnsi="宋体" w:cs="宋体"/>
          <w:color w:val="000000"/>
          <w:kern w:val="0"/>
          <w:sz w:val="24"/>
        </w:rPr>
        <w:t>熟悉地下通风的技术标准、安全规程的规定与要求，能组织进行隧道通风的测定和管理、安全规程的编制，能维护隧道通风系统的正常运行，隧道灾害防治措施的贯彻与落实</w:t>
      </w:r>
      <w:r>
        <w:rPr>
          <w:rFonts w:hint="eastAsia"/>
          <w:color w:val="000000"/>
          <w:sz w:val="24"/>
        </w:rPr>
        <w:t>等工作能力；具备在</w:t>
      </w:r>
      <w:r>
        <w:rPr>
          <w:rFonts w:hint="eastAsia" w:ascii="宋体" w:hAnsi="宋体" w:cs="宋体"/>
          <w:color w:val="000000"/>
          <w:kern w:val="0"/>
          <w:sz w:val="24"/>
        </w:rPr>
        <w:t>通风工区技术员、地隧通风工、测尘工等</w:t>
      </w:r>
      <w:r>
        <w:rPr>
          <w:rFonts w:hint="eastAsia"/>
          <w:color w:val="000000"/>
          <w:sz w:val="24"/>
        </w:rPr>
        <w:t>工作岗位上所必需的相关知识、技术标准、工作规范</w:t>
      </w:r>
      <w:r>
        <w:rPr>
          <w:rFonts w:hint="eastAsia" w:ascii="宋体" w:hAnsi="宋体" w:cs="宋体"/>
          <w:color w:val="000000"/>
          <w:kern w:val="0"/>
          <w:sz w:val="24"/>
        </w:rPr>
        <w:t>。</w:t>
      </w:r>
      <w:r>
        <w:rPr>
          <w:rFonts w:hint="eastAsia"/>
          <w:color w:val="000000"/>
          <w:sz w:val="24"/>
        </w:rPr>
        <w:t>具有一定发现问题、分析问题、解决问题的能力。</w:t>
      </w:r>
    </w:p>
    <w:p>
      <w:pPr>
        <w:spacing w:line="360" w:lineRule="auto"/>
        <w:ind w:firstLine="501" w:firstLineChars="208"/>
        <w:rPr>
          <w:rFonts w:ascii="宋体" w:cs="宋体"/>
          <w:sz w:val="24"/>
          <w:szCs w:val="24"/>
        </w:rPr>
      </w:pPr>
      <w:r>
        <w:rPr>
          <w:rFonts w:hint="eastAsia" w:ascii="宋体" w:hAnsi="宋体" w:cs="宋体"/>
          <w:b/>
          <w:kern w:val="0"/>
          <w:sz w:val="24"/>
          <w:szCs w:val="24"/>
        </w:rPr>
        <w:t>主要内容：</w:t>
      </w:r>
      <w:r>
        <w:rPr>
          <w:rFonts w:hint="eastAsia" w:ascii="宋体" w:hAnsi="宋体"/>
          <w:sz w:val="24"/>
        </w:rPr>
        <w:t>本课程主要教学内容是：</w:t>
      </w:r>
      <w:r>
        <w:rPr>
          <w:rFonts w:hint="eastAsia" w:ascii="宋体" w:hAnsi="宋体" w:cs="宋体"/>
          <w:sz w:val="24"/>
          <w:szCs w:val="24"/>
        </w:rPr>
        <w:t>通风基础知识，包括隧道风流的基本性质、风流能量方程、井巷通风阻力、井通风动力等</w:t>
      </w:r>
      <w:r>
        <w:rPr>
          <w:rFonts w:hint="eastAsia" w:ascii="宋体" w:hAnsi="宋体"/>
          <w:sz w:val="24"/>
          <w:szCs w:val="24"/>
        </w:rPr>
        <w:t>；</w:t>
      </w:r>
      <w:r>
        <w:rPr>
          <w:rFonts w:ascii="宋体"/>
          <w:sz w:val="24"/>
          <w:szCs w:val="24"/>
        </w:rPr>
        <w:t> </w:t>
      </w:r>
      <w:r>
        <w:rPr>
          <w:rFonts w:hint="eastAsia" w:ascii="宋体" w:hAnsi="宋体" w:cs="宋体"/>
          <w:sz w:val="24"/>
          <w:szCs w:val="24"/>
        </w:rPr>
        <w:t>通风技术，包括统一通风与分区通风，中央、对角和混合式通风，压入、抽出与混合式通风等；通风系统管理与控制技术，包括隧道风流的分配与控制、采区与掘进工作面风流的控制与管理、通风系统的检查与维护、通风系统改造技术等。</w:t>
      </w:r>
    </w:p>
    <w:p>
      <w:pPr>
        <w:spacing w:line="360" w:lineRule="auto"/>
        <w:ind w:firstLine="434" w:firstLineChars="207"/>
        <w:rPr>
          <w:rFonts w:ascii="宋体"/>
          <w:sz w:val="24"/>
        </w:rPr>
      </w:pPr>
      <w:r>
        <w:t xml:space="preserve"> </w:t>
      </w:r>
      <w:r>
        <w:rPr>
          <w:rFonts w:hint="eastAsia"/>
          <w:sz w:val="24"/>
          <w:szCs w:val="24"/>
        </w:rPr>
        <w:t>实践</w:t>
      </w:r>
      <w:r>
        <w:rPr>
          <w:rFonts w:hint="eastAsia" w:ascii="宋体" w:hAnsi="宋体"/>
          <w:sz w:val="24"/>
          <w:szCs w:val="24"/>
        </w:rPr>
        <w:t>环</w:t>
      </w:r>
      <w:r>
        <w:rPr>
          <w:rFonts w:hint="eastAsia" w:ascii="宋体" w:hAnsi="宋体"/>
          <w:sz w:val="24"/>
        </w:rPr>
        <w:t>节：地下掘进工艺及其主要运行设备设施的工作环境认识实习；地下开拓系统和主要运输中段的采准、切割作业工作面的通风状况参观；巷道掘进、支护作业面的通风与防尘参数检查、检测实习；通风防尘系统网络参数的检查、监测的仪器、设备的应用训练；矿井通风课程设计等。</w:t>
      </w:r>
    </w:p>
    <w:p>
      <w:pPr>
        <w:spacing w:line="360" w:lineRule="auto"/>
        <w:ind w:firstLine="487" w:firstLineChars="202"/>
        <w:rPr>
          <w:rFonts w:ascii="宋体" w:hAnsi="宋体"/>
          <w:sz w:val="24"/>
        </w:rPr>
      </w:pPr>
      <w:r>
        <w:rPr>
          <w:rFonts w:hint="eastAsia" w:ascii="宋体" w:hAnsi="宋体"/>
          <w:b/>
          <w:sz w:val="24"/>
        </w:rPr>
        <w:t>教学要求：</w:t>
      </w:r>
      <w:r>
        <w:rPr>
          <w:rFonts w:hint="eastAsia" w:ascii="宋体" w:hAnsi="宋体"/>
          <w:sz w:val="24"/>
        </w:rPr>
        <w:t>本课程面向的职业岗位是通风工区技术员、隧道通风工、测尘工等。通过本课程的学习，为企业培养具有良好的职业道德和职业素质，具备地隧通风监测、安全技术、施工、设计、管理的高技能人才。根据本课程特点要求在学习完《凿岩爆破》、《井巷工程》等课程，认识矿井采掘过程，熟悉隧道生产工艺后开设。该课程即需要前续课程的铺垫，又为后续的毕业实习和毕业设计打下坚实的基础。</w:t>
      </w:r>
    </w:p>
    <w:p>
      <w:pPr>
        <w:spacing w:line="360" w:lineRule="auto"/>
        <w:ind w:firstLine="487" w:firstLineChars="202"/>
        <w:rPr>
          <w:rFonts w:ascii="宋体" w:hAnsi="宋体"/>
          <w:b/>
          <w:sz w:val="24"/>
        </w:rPr>
      </w:pPr>
      <w:r>
        <w:rPr>
          <w:rFonts w:hint="eastAsia" w:ascii="宋体" w:hAnsi="宋体"/>
          <w:b/>
          <w:sz w:val="24"/>
        </w:rPr>
        <w:t>1</w:t>
      </w:r>
      <w:r>
        <w:rPr>
          <w:rFonts w:hint="eastAsia" w:ascii="宋体" w:hAnsi="宋体"/>
          <w:b/>
          <w:sz w:val="24"/>
          <w:lang w:val="en-US" w:eastAsia="zh-CN"/>
        </w:rPr>
        <w:t>2</w:t>
      </w:r>
      <w:r>
        <w:rPr>
          <w:rFonts w:hint="eastAsia" w:ascii="宋体" w:hAnsi="宋体"/>
          <w:b/>
          <w:sz w:val="24"/>
        </w:rPr>
        <w:t>.隧道施工与检测技术</w:t>
      </w:r>
    </w:p>
    <w:p>
      <w:pPr>
        <w:spacing w:line="360" w:lineRule="auto"/>
        <w:ind w:firstLine="482" w:firstLineChars="200"/>
        <w:rPr>
          <w:rFonts w:ascii="宋体" w:hAnsi="宋体" w:cs="宋体"/>
          <w:color w:val="000000"/>
          <w:kern w:val="0"/>
          <w:sz w:val="24"/>
        </w:rPr>
      </w:pPr>
      <w:r>
        <w:rPr>
          <w:rFonts w:ascii="宋体" w:hAnsi="宋体"/>
          <w:b/>
          <w:sz w:val="24"/>
        </w:rPr>
        <w:t>课程目标</w:t>
      </w:r>
      <w:r>
        <w:rPr>
          <w:rFonts w:hint="eastAsia" w:ascii="宋体" w:hAnsi="宋体"/>
          <w:b/>
          <w:sz w:val="24"/>
        </w:rPr>
        <w:t>：</w:t>
      </w:r>
      <w:r>
        <w:rPr>
          <w:rFonts w:hint="eastAsia" w:ascii="宋体" w:hAnsi="宋体" w:cs="宋体"/>
          <w:color w:val="000000"/>
          <w:kern w:val="0"/>
          <w:sz w:val="24"/>
        </w:rPr>
        <w:t>本课</w:t>
      </w:r>
      <w:r>
        <w:rPr>
          <w:rFonts w:ascii="宋体" w:hAnsi="宋体" w:cs="宋体"/>
          <w:color w:val="000000"/>
          <w:kern w:val="0"/>
          <w:sz w:val="24"/>
        </w:rPr>
        <w:t>针对隧道施工一线质量检测岗位的能力要求和知识要求</w:t>
      </w:r>
      <w:r>
        <w:rPr>
          <w:rFonts w:hint="eastAsia" w:ascii="宋体" w:hAnsi="宋体" w:cs="宋体"/>
          <w:color w:val="000000"/>
          <w:kern w:val="0"/>
          <w:sz w:val="24"/>
        </w:rPr>
        <w:t>，通过学习，使学生掌握地下隧道工程的施工技术、检测方式、手段，为保证</w:t>
      </w:r>
      <w:r>
        <w:rPr>
          <w:rFonts w:ascii="宋体" w:hAnsi="宋体" w:cs="宋体"/>
          <w:color w:val="000000"/>
          <w:kern w:val="0"/>
          <w:sz w:val="24"/>
        </w:rPr>
        <w:t>地下与隧道工程技术、铁道工程技术、道路桥梁工程技术、城市轨道交通工程技术等土建类及其他相关的</w:t>
      </w:r>
      <w:r>
        <w:rPr>
          <w:rFonts w:hint="eastAsia" w:ascii="宋体" w:hAnsi="宋体" w:cs="宋体"/>
          <w:color w:val="000000"/>
          <w:kern w:val="0"/>
          <w:sz w:val="24"/>
        </w:rPr>
        <w:t>工程质量</w:t>
      </w:r>
      <w:r>
        <w:rPr>
          <w:rFonts w:ascii="宋体" w:hAnsi="宋体" w:cs="宋体"/>
          <w:color w:val="000000"/>
          <w:kern w:val="0"/>
          <w:sz w:val="24"/>
        </w:rPr>
        <w:t>，也可</w:t>
      </w:r>
      <w:r>
        <w:rPr>
          <w:rFonts w:hint="eastAsia" w:ascii="宋体" w:hAnsi="宋体" w:cs="宋体"/>
          <w:color w:val="000000"/>
          <w:kern w:val="0"/>
          <w:sz w:val="24"/>
        </w:rPr>
        <w:t>为</w:t>
      </w:r>
      <w:r>
        <w:rPr>
          <w:rFonts w:ascii="宋体" w:hAnsi="宋体" w:cs="宋体"/>
          <w:color w:val="000000"/>
          <w:kern w:val="0"/>
          <w:sz w:val="24"/>
        </w:rPr>
        <w:t>相关设计、施工、监理、检测等</w:t>
      </w:r>
      <w:r>
        <w:rPr>
          <w:rFonts w:hint="eastAsia" w:ascii="宋体" w:hAnsi="宋体" w:cs="宋体"/>
          <w:color w:val="000000"/>
          <w:kern w:val="0"/>
          <w:sz w:val="24"/>
        </w:rPr>
        <w:t>提供</w:t>
      </w:r>
      <w:r>
        <w:rPr>
          <w:rFonts w:ascii="宋体" w:hAnsi="宋体" w:cs="宋体"/>
          <w:color w:val="000000"/>
          <w:kern w:val="0"/>
          <w:sz w:val="24"/>
        </w:rPr>
        <w:t>技术</w:t>
      </w:r>
      <w:r>
        <w:rPr>
          <w:rFonts w:hint="eastAsia" w:ascii="宋体" w:hAnsi="宋体" w:cs="宋体"/>
          <w:color w:val="000000"/>
          <w:kern w:val="0"/>
          <w:sz w:val="24"/>
        </w:rPr>
        <w:t>人才。</w:t>
      </w:r>
    </w:p>
    <w:p>
      <w:pPr>
        <w:spacing w:line="360" w:lineRule="auto"/>
        <w:ind w:firstLine="482" w:firstLineChars="200"/>
        <w:rPr>
          <w:rFonts w:ascii="宋体" w:hAnsi="宋体" w:cs="宋体"/>
          <w:color w:val="000000"/>
          <w:kern w:val="0"/>
          <w:sz w:val="24"/>
        </w:rPr>
      </w:pPr>
      <w:r>
        <w:rPr>
          <w:rFonts w:ascii="宋体" w:hAnsi="宋体"/>
          <w:b/>
          <w:sz w:val="24"/>
        </w:rPr>
        <w:t>主要内容</w:t>
      </w:r>
      <w:r>
        <w:rPr>
          <w:rFonts w:hint="eastAsia" w:ascii="宋体" w:hAnsi="宋体"/>
          <w:b/>
          <w:sz w:val="24"/>
        </w:rPr>
        <w:t>：</w:t>
      </w:r>
      <w:r>
        <w:rPr>
          <w:rFonts w:hint="eastAsia" w:ascii="宋体" w:hAnsi="宋体" w:cs="宋体"/>
          <w:color w:val="000000"/>
          <w:kern w:val="0"/>
          <w:sz w:val="24"/>
        </w:rPr>
        <w:t>本课程是为是一门专业课，</w:t>
      </w:r>
      <w:r>
        <w:rPr>
          <w:rFonts w:ascii="宋体" w:hAnsi="宋体" w:cs="宋体"/>
          <w:color w:val="000000"/>
          <w:kern w:val="0"/>
          <w:sz w:val="24"/>
        </w:rPr>
        <w:t>介绍了隧道施工各工序的施工要点、质量验收标准、质量检测方法及 检测技术。内容包括：超前地质预报质量检测与验收、超前支护与预加固措施施工质量检测与验收、开挖质量检测与验收、初期支护施工质量检测与验收、防排水施工质量检测与验收、衬砌施工质量检测与验收、施工监控量测质量检测与验收、施工环境检测与验收，后单独总结了盾构法隧道施工质量检测与验收内容</w:t>
      </w:r>
      <w:r>
        <w:rPr>
          <w:rFonts w:hint="eastAsia" w:ascii="宋体" w:hAnsi="宋体" w:cs="宋体"/>
          <w:color w:val="000000"/>
          <w:kern w:val="0"/>
          <w:sz w:val="24"/>
        </w:rPr>
        <w:t>。</w:t>
      </w:r>
    </w:p>
    <w:p>
      <w:pPr>
        <w:spacing w:line="360" w:lineRule="auto"/>
        <w:ind w:firstLine="482" w:firstLineChars="200"/>
        <w:rPr>
          <w:rFonts w:hint="eastAsia" w:ascii="宋体" w:hAnsi="宋体"/>
          <w:b/>
          <w:sz w:val="24"/>
          <w:szCs w:val="24"/>
        </w:rPr>
      </w:pPr>
      <w:r>
        <w:rPr>
          <w:rFonts w:ascii="宋体" w:hAnsi="宋体"/>
          <w:b/>
          <w:sz w:val="24"/>
        </w:rPr>
        <w:t>教学要求</w:t>
      </w:r>
      <w:r>
        <w:rPr>
          <w:rFonts w:hint="eastAsia" w:ascii="宋体" w:hAnsi="宋体"/>
          <w:b/>
          <w:sz w:val="24"/>
          <w:lang w:eastAsia="zh-CN"/>
        </w:rPr>
        <w:t>：</w:t>
      </w:r>
      <w:r>
        <w:rPr>
          <w:rFonts w:hint="eastAsia" w:ascii="宋体" w:hAnsi="宋体" w:cs="宋体"/>
          <w:color w:val="000000"/>
          <w:kern w:val="0"/>
          <w:sz w:val="24"/>
        </w:rPr>
        <w:t>通过本课程的学习，学生应该达到下列要求：掌握超前各种预报方法、检测与验收</w:t>
      </w:r>
      <w:r>
        <w:rPr>
          <w:rFonts w:hint="eastAsia" w:ascii="宋体" w:hAnsi="宋体" w:cs="宋体"/>
          <w:color w:val="000000"/>
          <w:kern w:val="0"/>
          <w:sz w:val="24"/>
          <w:lang w:eastAsia="zh-CN"/>
        </w:rPr>
        <w:t>；</w:t>
      </w:r>
      <w:r>
        <w:rPr>
          <w:rFonts w:hint="eastAsia" w:ascii="宋体" w:hAnsi="宋体" w:cs="宋体"/>
          <w:color w:val="000000"/>
          <w:kern w:val="0"/>
          <w:sz w:val="24"/>
        </w:rPr>
        <w:t>掌握工程开挖、初期支护、防排水、衬砌支护施工质量检测与验收</w:t>
      </w:r>
      <w:r>
        <w:rPr>
          <w:rFonts w:hint="eastAsia" w:ascii="宋体" w:hAnsi="宋体" w:cs="宋体"/>
          <w:color w:val="000000"/>
          <w:kern w:val="0"/>
          <w:sz w:val="24"/>
          <w:lang w:eastAsia="zh-CN"/>
        </w:rPr>
        <w:t>；</w:t>
      </w:r>
      <w:r>
        <w:rPr>
          <w:rFonts w:hint="eastAsia" w:ascii="宋体" w:hAnsi="宋体" w:cs="宋体"/>
          <w:color w:val="000000"/>
          <w:kern w:val="0"/>
          <w:sz w:val="24"/>
        </w:rPr>
        <w:t>掌握</w:t>
      </w:r>
      <w:r>
        <w:rPr>
          <w:rFonts w:ascii="宋体" w:hAnsi="宋体" w:cs="宋体"/>
          <w:color w:val="000000"/>
          <w:kern w:val="0"/>
          <w:sz w:val="24"/>
        </w:rPr>
        <w:t>施工监控量测质量检测与验收</w:t>
      </w:r>
      <w:r>
        <w:rPr>
          <w:rFonts w:hint="eastAsia" w:ascii="宋体" w:hAnsi="宋体" w:cs="宋体"/>
          <w:color w:val="000000"/>
          <w:kern w:val="0"/>
          <w:sz w:val="24"/>
          <w:lang w:eastAsia="zh-CN"/>
        </w:rPr>
        <w:t>；</w:t>
      </w:r>
      <w:r>
        <w:rPr>
          <w:rFonts w:hint="eastAsia" w:ascii="宋体" w:hAnsi="宋体" w:cs="宋体"/>
          <w:color w:val="000000"/>
          <w:kern w:val="0"/>
          <w:sz w:val="24"/>
        </w:rPr>
        <w:t>懂得施工环境检测与验收。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b/>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b/>
          <w:sz w:val="24"/>
          <w:szCs w:val="24"/>
        </w:rPr>
      </w:pPr>
      <w:r>
        <w:rPr>
          <w:rFonts w:hint="eastAsia" w:ascii="宋体" w:hAnsi="宋体"/>
          <w:b/>
          <w:sz w:val="24"/>
          <w:szCs w:val="24"/>
        </w:rPr>
        <w:t>1</w:t>
      </w:r>
      <w:r>
        <w:rPr>
          <w:rFonts w:hint="eastAsia" w:ascii="宋体" w:hAnsi="宋体"/>
          <w:b/>
          <w:sz w:val="24"/>
          <w:szCs w:val="24"/>
          <w:lang w:val="en-US" w:eastAsia="zh-CN"/>
        </w:rPr>
        <w:t>3</w:t>
      </w:r>
      <w:r>
        <w:rPr>
          <w:rFonts w:hint="eastAsia" w:ascii="宋体" w:hAnsi="宋体"/>
          <w:b/>
          <w:sz w:val="24"/>
          <w:szCs w:val="24"/>
        </w:rPr>
        <w:t>.《基础工程计量与计价》</w:t>
      </w:r>
    </w:p>
    <w:p>
      <w:pPr>
        <w:spacing w:line="360" w:lineRule="auto"/>
        <w:ind w:firstLine="482" w:firstLineChars="200"/>
        <w:rPr>
          <w:rFonts w:hint="eastAsia" w:ascii="宋体" w:hAnsi="宋体"/>
          <w:b w:val="0"/>
          <w:bCs/>
          <w:sz w:val="24"/>
        </w:rPr>
      </w:pPr>
      <w:r>
        <w:rPr>
          <w:rFonts w:hint="eastAsia" w:ascii="宋体" w:hAnsi="宋体"/>
          <w:b/>
          <w:sz w:val="24"/>
        </w:rPr>
        <w:t>课程目标：</w:t>
      </w:r>
      <w:r>
        <w:rPr>
          <w:rFonts w:hint="eastAsia" w:ascii="宋体" w:hAnsi="宋体"/>
          <w:b w:val="0"/>
          <w:bCs/>
          <w:sz w:val="24"/>
        </w:rPr>
        <w:t>本课程通过对土建造价人员岗位基本知识、工程量清单编制和投标报价施工图预算、工程结算编制等基于工作过程的学习，使学生掌握建筑工程造价编制与管理方面的知识。主要培养学生编制招标工程量清单、基础工程施工图预算和单位工程造价控制与管理的职业能力和职业素养。</w:t>
      </w:r>
    </w:p>
    <w:p>
      <w:pPr>
        <w:spacing w:line="360" w:lineRule="auto"/>
        <w:ind w:firstLine="482" w:firstLineChars="200"/>
        <w:rPr>
          <w:rFonts w:hint="eastAsia" w:ascii="宋体" w:hAnsi="宋体"/>
          <w:b/>
          <w:sz w:val="24"/>
        </w:rPr>
      </w:pPr>
      <w:r>
        <w:rPr>
          <w:rFonts w:hint="eastAsia" w:ascii="宋体" w:hAnsi="宋体"/>
          <w:b/>
          <w:sz w:val="24"/>
        </w:rPr>
        <w:t>主要内容：</w:t>
      </w:r>
      <w:r>
        <w:rPr>
          <w:rFonts w:hint="eastAsia" w:ascii="宋体" w:hAnsi="宋体"/>
          <w:b w:val="0"/>
          <w:bCs/>
          <w:sz w:val="24"/>
        </w:rPr>
        <w:t>建筑工程造价基本知识，建筑工程定额与计价规范基本知识，基础工程量清单的组成与编制原则、步骤和方法，基础工程施工图预、结算的编制方法。</w:t>
      </w:r>
      <w:r>
        <w:rPr>
          <w:rFonts w:hint="eastAsia" w:ascii="宋体" w:hAnsi="宋体"/>
          <w:b/>
          <w:sz w:val="24"/>
        </w:rPr>
        <w:t xml:space="preserve"> </w:t>
      </w:r>
    </w:p>
    <w:p>
      <w:pPr>
        <w:spacing w:line="360" w:lineRule="auto"/>
        <w:ind w:firstLine="482" w:firstLineChars="200"/>
        <w:rPr>
          <w:rFonts w:hint="eastAsia" w:ascii="宋体" w:hAnsi="宋体"/>
          <w:b w:val="0"/>
          <w:bCs/>
          <w:sz w:val="24"/>
        </w:rPr>
      </w:pPr>
      <w:r>
        <w:rPr>
          <w:rFonts w:hint="eastAsia" w:ascii="宋体" w:hAnsi="宋体"/>
          <w:b/>
          <w:sz w:val="24"/>
        </w:rPr>
        <w:t>教学要求：</w:t>
      </w:r>
      <w:r>
        <w:rPr>
          <w:rFonts w:hint="eastAsia" w:ascii="宋体" w:hAnsi="宋体"/>
          <w:b w:val="0"/>
          <w:bCs/>
          <w:sz w:val="24"/>
        </w:rPr>
        <w:t>熟悉《建设工程工程量清单计价规范》、《房屋建筑工程量计算规范》和《建筑工程综合基价》的相关规定与应用方法；掌握基础工程工程量清单编制步骤和方法，掌握建筑工程的费用组成、各项清单项目的工程量和综合单价计算方法；掌握房屋建筑工程预（结）算的编制原则、步骤和方法；了解相应预算软件进行图形算量与造价的编制方法。建议教学中采用项目教学、案例教学相结合的教学方法，根据实际的工作过程设计教学内容，形成系统性、完整性的工作过程的学习与训练，培养学生能够参与编制建筑工程施工招标文件和投标文件的能力。培养学生具有获取、分析、归纳、交流、使用信息和新技术的能力和自主学习的能力，具有良好的职业道德、敬业精神和团队协作能力。</w:t>
      </w:r>
    </w:p>
    <w:p>
      <w:pPr>
        <w:spacing w:line="360" w:lineRule="auto"/>
        <w:ind w:firstLine="487" w:firstLineChars="202"/>
        <w:rPr>
          <w:rFonts w:ascii="宋体" w:hAnsi="宋体"/>
          <w:b/>
          <w:sz w:val="24"/>
        </w:rPr>
      </w:pPr>
      <w:r>
        <w:rPr>
          <w:rFonts w:hint="eastAsia" w:ascii="宋体" w:hAnsi="宋体"/>
          <w:b/>
          <w:sz w:val="24"/>
        </w:rPr>
        <w:t>1</w:t>
      </w:r>
      <w:r>
        <w:rPr>
          <w:rFonts w:hint="eastAsia" w:ascii="宋体" w:hAnsi="宋体"/>
          <w:b/>
          <w:sz w:val="24"/>
          <w:lang w:val="en-US" w:eastAsia="zh-CN"/>
        </w:rPr>
        <w:t>4</w:t>
      </w:r>
      <w:r>
        <w:rPr>
          <w:rFonts w:hint="eastAsia" w:ascii="宋体" w:hAnsi="宋体"/>
          <w:b/>
          <w:sz w:val="24"/>
        </w:rPr>
        <w:t>.工程招投标与合同管理</w:t>
      </w:r>
    </w:p>
    <w:p>
      <w:pPr>
        <w:spacing w:line="360" w:lineRule="auto"/>
        <w:ind w:firstLine="487" w:firstLineChars="202"/>
        <w:rPr>
          <w:rFonts w:hint="eastAsia" w:ascii="宋体" w:hAnsi="宋体" w:cs="宋体" w:eastAsiaTheme="minorEastAsia"/>
          <w:sz w:val="24"/>
          <w:szCs w:val="24"/>
          <w:lang w:eastAsia="zh-CN"/>
        </w:rPr>
      </w:pPr>
      <w:r>
        <w:rPr>
          <w:rFonts w:ascii="宋体" w:hAnsi="宋体" w:cs="宋体"/>
          <w:b/>
          <w:bCs/>
          <w:sz w:val="24"/>
          <w:szCs w:val="24"/>
        </w:rPr>
        <w:t>课程目标：</w:t>
      </w:r>
      <w:r>
        <w:rPr>
          <w:rFonts w:ascii="宋体" w:hAnsi="宋体" w:cs="宋体"/>
          <w:sz w:val="24"/>
          <w:szCs w:val="24"/>
        </w:rPr>
        <w:t>本课程主要培养学生从事施工现场预算、建筑工程造价、招、投标代理、合同管理等工作具备的知识和能力。</w:t>
      </w:r>
    </w:p>
    <w:p>
      <w:pPr>
        <w:spacing w:line="360" w:lineRule="auto"/>
        <w:ind w:firstLine="487" w:firstLineChars="202"/>
        <w:rPr>
          <w:rFonts w:hint="eastAsia" w:ascii="宋体" w:hAnsi="宋体" w:cs="宋体" w:eastAsiaTheme="minorEastAsia"/>
          <w:sz w:val="24"/>
          <w:szCs w:val="24"/>
          <w:lang w:eastAsia="zh-CN"/>
        </w:rPr>
      </w:pPr>
      <w:r>
        <w:rPr>
          <w:rFonts w:ascii="宋体" w:hAnsi="宋体" w:cs="宋体"/>
          <w:b/>
          <w:bCs/>
          <w:sz w:val="24"/>
          <w:szCs w:val="24"/>
        </w:rPr>
        <w:t>主要内容：</w:t>
      </w:r>
      <w:r>
        <w:rPr>
          <w:rFonts w:ascii="宋体" w:hAnsi="宋体" w:cs="宋体"/>
          <w:sz w:val="24"/>
          <w:szCs w:val="24"/>
        </w:rPr>
        <w:t>系统地阐述了建筑工程有关法律法规、建筑工程招标投标与合同管理三部分内容全面介绍了我国有关工程建设程序、工程建设执业资格法规、建设工程质量管理和安全生产法规、工程建设监理法规、招标投标法、建筑法、合同法等在工程建设领域中的法律常识和建筑合同管理、FIDIC土木工程施工条件、工程索赔等知识。</w:t>
      </w:r>
    </w:p>
    <w:p>
      <w:pPr>
        <w:spacing w:line="360" w:lineRule="auto"/>
        <w:ind w:firstLine="487" w:firstLineChars="202"/>
        <w:rPr>
          <w:rFonts w:ascii="宋体" w:hAnsi="宋体" w:cs="宋体"/>
          <w:sz w:val="24"/>
          <w:szCs w:val="24"/>
        </w:rPr>
      </w:pPr>
      <w:r>
        <w:rPr>
          <w:rFonts w:ascii="宋体" w:hAnsi="宋体" w:cs="宋体"/>
          <w:b/>
          <w:bCs/>
          <w:sz w:val="24"/>
          <w:szCs w:val="24"/>
        </w:rPr>
        <w:t>教学要求：</w:t>
      </w:r>
      <w:r>
        <w:rPr>
          <w:rFonts w:ascii="宋体" w:hAnsi="宋体" w:cs="宋体"/>
          <w:sz w:val="24"/>
          <w:szCs w:val="24"/>
        </w:rPr>
        <w:t>本课程着重讲述工程建设方面的法律知识、建筑工程招标和合同管理等知识，是一门专业性、实践性和政策均很强的课程，涉及的法律知识范围很广，由于课时有限，在教学中坚持“学以致用，学用结合”的原则，重点是要树立学生的法律意识和学习意识。采用案例教学，提高学生的学习兴趣，提高教学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0"/>
        <w:rPr>
          <w:rFonts w:hint="eastAsia" w:ascii="宋体" w:hAnsi="宋体"/>
          <w:b/>
          <w:sz w:val="24"/>
          <w:lang w:val="en-US" w:eastAsia="zh-CN"/>
        </w:rPr>
      </w:pPr>
      <w:r>
        <w:rPr>
          <w:rFonts w:hint="eastAsia" w:ascii="宋体" w:hAnsi="宋体"/>
          <w:b/>
          <w:sz w:val="24"/>
          <w:lang w:val="en-US" w:eastAsia="zh-CN"/>
        </w:rPr>
        <w:t>15、</w:t>
      </w:r>
      <w:r>
        <w:rPr>
          <w:rFonts w:hint="eastAsia"/>
          <w:b/>
          <w:sz w:val="24"/>
        </w:rPr>
        <w:t>施工组织与管理</w:t>
      </w:r>
    </w:p>
    <w:p>
      <w:pPr>
        <w:snapToGrid w:val="0"/>
        <w:spacing w:line="458" w:lineRule="exact"/>
        <w:ind w:firstLine="482" w:firstLineChars="200"/>
        <w:rPr>
          <w:sz w:val="24"/>
        </w:rPr>
      </w:pPr>
      <w:r>
        <w:rPr>
          <w:rFonts w:hint="eastAsia" w:ascii="宋体" w:hAnsi="宋体" w:cs="宋体"/>
          <w:b/>
          <w:bCs/>
          <w:kern w:val="0"/>
          <w:sz w:val="24"/>
          <w:szCs w:val="24"/>
        </w:rPr>
        <w:t>课程目标：</w:t>
      </w:r>
      <w:r>
        <w:rPr>
          <w:rFonts w:hint="eastAsia" w:ascii="宋体" w:hAnsi="宋体" w:cs="宋体"/>
          <w:kern w:val="0"/>
          <w:sz w:val="24"/>
          <w:szCs w:val="24"/>
        </w:rPr>
        <w:t>《</w:t>
      </w:r>
      <w:r>
        <w:rPr>
          <w:rFonts w:hint="eastAsia" w:ascii="宋体" w:hAnsi="宋体"/>
          <w:sz w:val="24"/>
        </w:rPr>
        <w:t>施工组织与管理</w:t>
      </w:r>
      <w:r>
        <w:rPr>
          <w:rFonts w:ascii="宋体" w:hAnsi="宋体"/>
          <w:sz w:val="24"/>
        </w:rPr>
        <w:t>》</w:t>
      </w:r>
      <w:r>
        <w:rPr>
          <w:rFonts w:hint="eastAsia" w:ascii="宋体" w:hAnsi="宋体"/>
          <w:sz w:val="24"/>
        </w:rPr>
        <w:t>是建筑工程技术专业核心专业课程，</w:t>
      </w:r>
      <w:r>
        <w:rPr>
          <w:sz w:val="24"/>
        </w:rPr>
        <w:t>本课程着重培养建筑工程行业从业人员的计划、组织、实施与控制等方面的职业能力，主要研究如何根据具体的工程条件，以最优的方式解决建筑施工准备工作的问题，即如何根据拟建工程的性质和规模、施工季节和环境、工期的长短、工人的素质和数量、机械的装备程度、材料供应情况等各种技术经济条件和技术统一的全局出发，从许多可行的方案中选定最优的方案，编制可行的施工组织设计，并在施工组织设计的过程中，做好施工技术管理、进行成本、进度和质量控制。</w:t>
      </w:r>
    </w:p>
    <w:p>
      <w:pPr>
        <w:spacing w:line="360" w:lineRule="auto"/>
        <w:ind w:firstLine="472" w:firstLineChars="196"/>
        <w:rPr>
          <w:rFonts w:hint="eastAsia" w:ascii="宋体" w:hAnsi="宋体"/>
          <w:sz w:val="24"/>
        </w:rPr>
      </w:pPr>
      <w:r>
        <w:rPr>
          <w:rFonts w:hint="eastAsia" w:ascii="宋体" w:hAnsi="宋体"/>
          <w:b/>
          <w:bCs/>
          <w:sz w:val="24"/>
        </w:rPr>
        <w:t>主要内容：</w:t>
      </w:r>
      <w:r>
        <w:rPr>
          <w:rFonts w:hint="eastAsia" w:ascii="宋体" w:hAnsi="宋体"/>
          <w:sz w:val="24"/>
        </w:rPr>
        <w:t>主要讲解流水施工、网络施工组织方法；施工进度调整、控制；施工准备、施工部署、质量保障；项目施工管理、合同管理等基本知识。</w:t>
      </w:r>
    </w:p>
    <w:p>
      <w:pPr>
        <w:snapToGrid w:val="0"/>
        <w:spacing w:line="458" w:lineRule="exact"/>
        <w:ind w:firstLine="482" w:firstLineChars="200"/>
        <w:rPr>
          <w:rFonts w:hint="eastAsia" w:ascii="宋体" w:hAnsi="宋体"/>
          <w:b/>
          <w:sz w:val="24"/>
          <w:lang w:val="en-US" w:eastAsia="zh-CN"/>
        </w:rPr>
      </w:pPr>
      <w:r>
        <w:rPr>
          <w:rFonts w:hint="eastAsia" w:ascii="宋体" w:hAnsi="宋体"/>
          <w:b/>
          <w:bCs/>
          <w:sz w:val="24"/>
        </w:rPr>
        <w:t>教学要求：</w:t>
      </w:r>
      <w:r>
        <w:rPr>
          <w:rFonts w:hint="eastAsia"/>
          <w:sz w:val="24"/>
        </w:rPr>
        <w:t>通过本课程的学习，要求学生</w:t>
      </w:r>
      <w:r>
        <w:rPr>
          <w:sz w:val="24"/>
        </w:rPr>
        <w:t>能根据相关规定组织施工图纸自审和会审</w:t>
      </w:r>
      <w:r>
        <w:rPr>
          <w:rFonts w:hint="eastAsia"/>
          <w:sz w:val="24"/>
        </w:rPr>
        <w:t>，</w:t>
      </w:r>
      <w:r>
        <w:rPr>
          <w:sz w:val="24"/>
        </w:rPr>
        <w:t>编制施工进度计划</w:t>
      </w:r>
      <w:r>
        <w:rPr>
          <w:rFonts w:hint="eastAsia"/>
          <w:sz w:val="24"/>
        </w:rPr>
        <w:t>，</w:t>
      </w:r>
      <w:r>
        <w:rPr>
          <w:sz w:val="24"/>
        </w:rPr>
        <w:t>能根据施工现场进行水、电、路、临时设施的布置</w:t>
      </w:r>
      <w:r>
        <w:rPr>
          <w:rFonts w:hint="eastAsia"/>
          <w:sz w:val="24"/>
        </w:rPr>
        <w:t>，</w:t>
      </w:r>
      <w:r>
        <w:rPr>
          <w:sz w:val="24"/>
        </w:rPr>
        <w:t>具有正确配置施工资源的能力</w:t>
      </w:r>
      <w:r>
        <w:rPr>
          <w:rFonts w:hint="eastAsia"/>
          <w:sz w:val="24"/>
        </w:rPr>
        <w:t>，</w:t>
      </w:r>
      <w:r>
        <w:rPr>
          <w:sz w:val="24"/>
        </w:rPr>
        <w:t>具有独立编制施工组织设计的能力</w:t>
      </w:r>
      <w:r>
        <w:rPr>
          <w:rFonts w:hint="eastAsia"/>
          <w:sz w:val="24"/>
        </w:rPr>
        <w:t>，</w:t>
      </w:r>
      <w:r>
        <w:rPr>
          <w:sz w:val="24"/>
        </w:rPr>
        <w:t>在工程实施的过程中，会进行技术管理及成本、进度和质量控制。</w:t>
      </w:r>
    </w:p>
    <w:p>
      <w:pPr>
        <w:numPr>
          <w:ilvl w:val="0"/>
          <w:numId w:val="0"/>
        </w:numPr>
        <w:adjustRightInd w:val="0"/>
        <w:spacing w:line="560" w:lineRule="exact"/>
        <w:ind w:firstLine="482" w:firstLineChars="200"/>
        <w:rPr>
          <w:rFonts w:hint="eastAsia" w:ascii="宋体" w:hAnsi="宋体" w:eastAsia="宋体" w:cs="Times New Roman"/>
          <w:b/>
          <w:bCs/>
          <w:color w:val="000000"/>
          <w:sz w:val="24"/>
          <w:szCs w:val="24"/>
        </w:rPr>
      </w:pPr>
      <w:r>
        <w:rPr>
          <w:rFonts w:hint="eastAsia" w:ascii="宋体" w:hAnsi="宋体" w:eastAsia="宋体" w:cs="Times New Roman"/>
          <w:b/>
          <w:bCs/>
          <w:color w:val="000000"/>
          <w:sz w:val="24"/>
          <w:szCs w:val="24"/>
          <w:lang w:val="en-US" w:eastAsia="zh-CN"/>
        </w:rPr>
        <w:t>16.BIM技术应用</w:t>
      </w:r>
    </w:p>
    <w:p>
      <w:pPr>
        <w:adjustRightInd w:val="0"/>
        <w:spacing w:line="560" w:lineRule="exact"/>
        <w:ind w:firstLine="482" w:firstLineChars="200"/>
        <w:rPr>
          <w:rFonts w:hint="eastAsia" w:ascii="宋体" w:hAnsi="宋体" w:eastAsia="宋体" w:cs="宋体"/>
          <w:color w:val="auto"/>
          <w:kern w:val="0"/>
          <w:sz w:val="24"/>
          <w:szCs w:val="24"/>
          <w:lang w:eastAsia="zh-CN"/>
        </w:rPr>
      </w:pPr>
      <w:r>
        <w:rPr>
          <w:rFonts w:hint="eastAsia" w:ascii="宋体" w:hAnsi="宋体" w:eastAsia="宋体" w:cs="宋体"/>
          <w:b/>
          <w:bCs/>
          <w:color w:val="auto"/>
          <w:kern w:val="0"/>
          <w:sz w:val="24"/>
          <w:szCs w:val="24"/>
        </w:rPr>
        <w:t>课程目标：</w:t>
      </w:r>
      <w:r>
        <w:rPr>
          <w:rFonts w:hint="eastAsia" w:ascii="宋体" w:hAnsi="宋体" w:eastAsia="宋体" w:cs="宋体"/>
          <w:color w:val="auto"/>
          <w:kern w:val="0"/>
          <w:sz w:val="24"/>
          <w:szCs w:val="24"/>
          <w:lang w:val="en-US" w:eastAsia="zh-CN"/>
        </w:rPr>
        <w:t>通过本课程的学习，让学生</w:t>
      </w:r>
      <w:r>
        <w:rPr>
          <w:rFonts w:hint="eastAsia" w:ascii="宋体" w:hAnsi="宋体" w:eastAsia="宋体" w:cs="宋体"/>
          <w:color w:val="auto"/>
          <w:kern w:val="0"/>
          <w:sz w:val="24"/>
          <w:szCs w:val="24"/>
          <w:lang w:eastAsia="zh-CN"/>
        </w:rPr>
        <w:t>掌握建筑施工图、结构施工图、建筑详图、建筑材料建筑及结构相关制图规范的基本技术要求。 具有按照建筑施工图，结构施工图，建筑模型进行施工的能力；具有根据建筑模型计算施工进度、判断模型碰撞的能力。</w:t>
      </w:r>
    </w:p>
    <w:p>
      <w:pPr>
        <w:adjustRightInd w:val="0"/>
        <w:spacing w:line="560" w:lineRule="exact"/>
        <w:ind w:firstLine="482" w:firstLineChars="200"/>
        <w:rPr>
          <w:rFonts w:hint="eastAsia" w:ascii="Calibri" w:hAnsi="Calibri" w:eastAsia="宋体" w:cs="Times New Roman"/>
          <w:color w:val="000000"/>
          <w:sz w:val="24"/>
          <w:szCs w:val="24"/>
        </w:rPr>
      </w:pPr>
      <w:r>
        <w:rPr>
          <w:rFonts w:hint="eastAsia" w:ascii="宋体" w:hAnsi="宋体" w:eastAsia="宋体" w:cs="Times New Roman"/>
          <w:b/>
          <w:bCs/>
          <w:color w:val="000000"/>
          <w:sz w:val="24"/>
          <w:szCs w:val="24"/>
        </w:rPr>
        <w:t>主要内容：</w:t>
      </w:r>
      <w:r>
        <w:rPr>
          <w:rFonts w:hint="eastAsia" w:ascii="宋体" w:hAnsi="宋体" w:eastAsia="宋体" w:cs="Times New Roman"/>
          <w:color w:val="000000"/>
          <w:sz w:val="24"/>
          <w:szCs w:val="24"/>
        </w:rPr>
        <w:t>基于</w:t>
      </w:r>
      <w:r>
        <w:rPr>
          <w:rFonts w:hint="eastAsia" w:ascii="Calibri" w:hAnsi="Calibri" w:eastAsia="宋体" w:cs="Times New Roman"/>
          <w:color w:val="000000"/>
          <w:sz w:val="24"/>
          <w:szCs w:val="24"/>
        </w:rPr>
        <w:t>BIM</w:t>
      </w:r>
      <w:r>
        <w:rPr>
          <w:rFonts w:hint="eastAsia" w:ascii="宋体" w:hAnsi="宋体" w:eastAsia="宋体" w:cs="Times New Roman"/>
          <w:color w:val="000000"/>
          <w:sz w:val="24"/>
          <w:szCs w:val="24"/>
        </w:rPr>
        <w:t>的工程量计算；基于</w:t>
      </w:r>
      <w:r>
        <w:rPr>
          <w:rFonts w:hint="eastAsia" w:ascii="Calibri" w:hAnsi="Calibri" w:eastAsia="宋体" w:cs="Times New Roman"/>
          <w:color w:val="000000"/>
          <w:sz w:val="24"/>
          <w:szCs w:val="24"/>
        </w:rPr>
        <w:t>BIM</w:t>
      </w:r>
      <w:r>
        <w:rPr>
          <w:rFonts w:hint="eastAsia" w:ascii="宋体" w:hAnsi="宋体" w:eastAsia="宋体" w:cs="Times New Roman"/>
          <w:color w:val="000000"/>
          <w:sz w:val="24"/>
          <w:szCs w:val="24"/>
        </w:rPr>
        <w:t>的工程概预算编制；基于</w:t>
      </w:r>
      <w:r>
        <w:rPr>
          <w:rFonts w:hint="eastAsia" w:ascii="Calibri" w:hAnsi="Calibri" w:eastAsia="宋体" w:cs="Times New Roman"/>
          <w:color w:val="000000"/>
          <w:sz w:val="24"/>
          <w:szCs w:val="24"/>
        </w:rPr>
        <w:t>BIM</w:t>
      </w:r>
      <w:r>
        <w:rPr>
          <w:rFonts w:hint="eastAsia" w:ascii="宋体" w:hAnsi="宋体" w:eastAsia="宋体" w:cs="Times New Roman"/>
          <w:color w:val="000000"/>
          <w:sz w:val="24"/>
          <w:szCs w:val="24"/>
        </w:rPr>
        <w:t>的工程量清单编制、工程量清单报价编制、工程结算编制。</w:t>
      </w:r>
    </w:p>
    <w:p>
      <w:pPr>
        <w:adjustRightInd w:val="0"/>
        <w:spacing w:line="560" w:lineRule="exact"/>
        <w:ind w:firstLine="482" w:firstLineChars="200"/>
        <w:rPr>
          <w:rFonts w:hint="eastAsia" w:ascii="宋体" w:hAnsi="宋体" w:eastAsia="宋体" w:cs="Times New Roman"/>
          <w:color w:val="000000"/>
          <w:sz w:val="24"/>
          <w:szCs w:val="24"/>
          <w:lang w:val="en-US" w:eastAsia="zh-CN"/>
        </w:rPr>
      </w:pPr>
      <w:r>
        <w:rPr>
          <w:rFonts w:hint="eastAsia" w:ascii="宋体" w:hAnsi="宋体" w:eastAsia="宋体" w:cs="Times New Roman"/>
          <w:b/>
          <w:bCs/>
          <w:color w:val="000000"/>
          <w:sz w:val="24"/>
          <w:szCs w:val="24"/>
          <w:lang w:eastAsia="zh-CN"/>
        </w:rPr>
        <w:t>教学要求</w:t>
      </w:r>
      <w:r>
        <w:rPr>
          <w:rFonts w:hint="eastAsia" w:ascii="宋体" w:hAnsi="宋体" w:eastAsia="宋体" w:cs="Times New Roman"/>
          <w:b/>
          <w:bCs/>
          <w:color w:val="000000"/>
          <w:sz w:val="24"/>
          <w:szCs w:val="24"/>
        </w:rPr>
        <w:t>：</w:t>
      </w:r>
      <w:r>
        <w:rPr>
          <w:rFonts w:hint="eastAsia" w:ascii="宋体" w:hAnsi="宋体" w:eastAsia="宋体" w:cs="Times New Roman"/>
          <w:color w:val="000000"/>
          <w:sz w:val="24"/>
          <w:szCs w:val="24"/>
        </w:rPr>
        <w:t>结合高技能人才培养目标要求，本课程将密切相关的实训项目纳入课程教学体系进行教学。同时根据</w:t>
      </w:r>
      <w:r>
        <w:rPr>
          <w:rFonts w:hint="eastAsia" w:ascii="宋体" w:hAnsi="宋体" w:eastAsia="宋体" w:cs="Times New Roman"/>
          <w:color w:val="000000"/>
          <w:sz w:val="24"/>
          <w:szCs w:val="24"/>
          <w:lang w:val="en-US" w:eastAsia="zh-CN"/>
        </w:rPr>
        <w:t>工程造价</w:t>
      </w:r>
      <w:r>
        <w:rPr>
          <w:rFonts w:hint="eastAsia" w:ascii="宋体" w:hAnsi="宋体" w:eastAsia="宋体" w:cs="Times New Roman"/>
          <w:color w:val="000000"/>
          <w:sz w:val="24"/>
          <w:szCs w:val="24"/>
        </w:rPr>
        <w:t>专业对学生的知识、能力和素质要求制定本课程对基本操作技能、专业技能和专业综合应用能力训练的实践教学计划，统筹安排实践教学内容，坚持把职业核心能力与综合素质的培养贯穿于整个教学活动中，突出培养学生的职业技能。坚持重点培养职业能力的课程设计理念。</w:t>
      </w:r>
      <w:r>
        <w:rPr>
          <w:rFonts w:hint="eastAsia" w:ascii="宋体" w:hAnsi="宋体" w:eastAsia="宋体" w:cs="Times New Roman"/>
          <w:color w:val="000000"/>
          <w:sz w:val="24"/>
          <w:szCs w:val="24"/>
          <w:lang w:val="en-US" w:eastAsia="zh-CN"/>
        </w:rPr>
        <w:t xml:space="preserve"> </w:t>
      </w:r>
    </w:p>
    <w:p>
      <w:pPr>
        <w:spacing w:line="360" w:lineRule="auto"/>
        <w:outlineLvl w:val="0"/>
        <w:rPr>
          <w:rFonts w:ascii="宋体" w:hAnsi="宋体" w:eastAsia="宋体" w:cs="宋体"/>
          <w:b/>
          <w:bCs/>
          <w:kern w:val="0"/>
          <w:sz w:val="24"/>
          <w:szCs w:val="24"/>
        </w:rPr>
      </w:pPr>
      <w:r>
        <w:rPr>
          <w:rFonts w:hint="eastAsia" w:ascii="宋体" w:hAnsi="宋体" w:eastAsia="宋体" w:cs="Times New Roman"/>
          <w:b/>
          <w:sz w:val="24"/>
          <w:szCs w:val="24"/>
        </w:rPr>
        <w:t>（三）职业技能课程</w:t>
      </w:r>
    </w:p>
    <w:p>
      <w:pPr>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1、房屋建筑与CAD课程设计</w:t>
      </w:r>
    </w:p>
    <w:p>
      <w:pPr>
        <w:spacing w:line="360" w:lineRule="auto"/>
        <w:ind w:firstLine="482" w:firstLineChars="200"/>
        <w:rPr>
          <w:rFonts w:hint="eastAsia" w:ascii="宋体" w:hAnsi="宋体" w:eastAsia="宋体" w:cs="宋体"/>
          <w:sz w:val="24"/>
          <w:szCs w:val="24"/>
          <w:lang w:eastAsia="zh-CN"/>
        </w:rPr>
      </w:pPr>
      <w:r>
        <w:rPr>
          <w:rFonts w:ascii="宋体" w:hAnsi="宋体" w:eastAsia="宋体" w:cs="宋体"/>
          <w:b/>
          <w:bCs/>
          <w:sz w:val="24"/>
          <w:szCs w:val="24"/>
        </w:rPr>
        <w:t>课程目标：</w:t>
      </w:r>
      <w:r>
        <w:rPr>
          <w:rFonts w:ascii="宋体" w:hAnsi="宋体" w:eastAsia="宋体" w:cs="宋体"/>
          <w:sz w:val="24"/>
          <w:szCs w:val="24"/>
        </w:rPr>
        <w:t>了解从事建筑工程专业应具备的基本知识，熟悉土建图的内容和图示特点(包括专业制图有关标准规定的图示特点和表达方法、视图名称和配置、比例、图线、尺寸标注、材料符号、图例、编号等)，掌握正确的绘图方法和步骤， 理解建筑施工图的内容和表达方法。</w:t>
      </w:r>
      <w:r>
        <w:rPr>
          <w:rFonts w:hint="eastAsia" w:ascii="宋体" w:hAnsi="宋体" w:eastAsia="宋体" w:cs="宋体"/>
          <w:sz w:val="24"/>
          <w:szCs w:val="24"/>
        </w:rPr>
        <w:t>熟练应用CAD绘图软件进行绘图</w:t>
      </w:r>
      <w:r>
        <w:rPr>
          <w:rFonts w:ascii="宋体" w:hAnsi="宋体" w:eastAsia="宋体" w:cs="宋体"/>
          <w:sz w:val="24"/>
          <w:szCs w:val="24"/>
        </w:rPr>
        <w:t>，并将其正确应用在工程实践中。</w:t>
      </w:r>
    </w:p>
    <w:p>
      <w:pPr>
        <w:spacing w:line="360" w:lineRule="auto"/>
        <w:ind w:firstLine="482" w:firstLineChars="200"/>
        <w:rPr>
          <w:rFonts w:hint="eastAsia" w:ascii="宋体" w:hAnsi="宋体" w:eastAsia="宋体" w:cs="宋体"/>
          <w:sz w:val="24"/>
          <w:szCs w:val="24"/>
          <w:lang w:eastAsia="zh-CN"/>
        </w:rPr>
      </w:pPr>
      <w:r>
        <w:rPr>
          <w:rFonts w:ascii="宋体" w:hAnsi="宋体" w:eastAsia="宋体" w:cs="宋体"/>
          <w:b/>
          <w:bCs/>
          <w:sz w:val="24"/>
          <w:szCs w:val="24"/>
        </w:rPr>
        <w:t>主要内容：</w:t>
      </w:r>
      <w:r>
        <w:rPr>
          <w:rFonts w:ascii="宋体" w:hAnsi="宋体" w:eastAsia="宋体" w:cs="宋体"/>
          <w:sz w:val="24"/>
          <w:szCs w:val="24"/>
        </w:rPr>
        <w:t>根据教师给出的相关方案，正确理解设计意图和构造做法，掌握正确的图示方法，并能绘制主要的建筑施工图。 </w:t>
      </w:r>
      <w:r>
        <w:rPr>
          <w:rFonts w:hint="eastAsia" w:ascii="宋体" w:hAnsi="宋体" w:eastAsia="宋体" w:cs="宋体"/>
          <w:sz w:val="24"/>
          <w:szCs w:val="24"/>
        </w:rPr>
        <w:t>应用AUTO CAD软件完成</w:t>
      </w:r>
      <w:r>
        <w:rPr>
          <w:rFonts w:ascii="宋体" w:hAnsi="宋体" w:eastAsia="宋体" w:cs="宋体"/>
          <w:sz w:val="24"/>
          <w:szCs w:val="24"/>
        </w:rPr>
        <w:t>抄绘一层平面图；绘制正立面图；1-1剖面图（比例1：100）；墙身详图和楼梯详图（比例1：50）五部分。</w:t>
      </w:r>
    </w:p>
    <w:p>
      <w:pPr>
        <w:spacing w:line="360" w:lineRule="auto"/>
        <w:ind w:firstLine="482" w:firstLineChars="200"/>
        <w:rPr>
          <w:rFonts w:hint="eastAsia" w:ascii="宋体" w:hAnsi="宋体" w:eastAsia="宋体" w:cs="宋体"/>
          <w:kern w:val="0"/>
          <w:sz w:val="24"/>
          <w:szCs w:val="24"/>
        </w:rPr>
      </w:pPr>
      <w:r>
        <w:rPr>
          <w:rFonts w:ascii="宋体" w:hAnsi="宋体" w:eastAsia="宋体" w:cs="宋体"/>
          <w:b/>
          <w:bCs/>
          <w:sz w:val="24"/>
          <w:szCs w:val="24"/>
        </w:rPr>
        <w:t>教学要求：</w:t>
      </w:r>
      <w:r>
        <w:rPr>
          <w:rFonts w:ascii="宋体" w:hAnsi="宋体" w:eastAsia="宋体" w:cs="宋体"/>
          <w:sz w:val="24"/>
          <w:szCs w:val="24"/>
        </w:rPr>
        <w:t>初步掌握绘制与阅读本专业建筑物图样的方法。能根据专业需要</w:t>
      </w:r>
      <w:r>
        <w:rPr>
          <w:rFonts w:hint="eastAsia" w:ascii="宋体" w:hAnsi="宋体" w:eastAsia="宋体" w:cs="宋体"/>
          <w:sz w:val="24"/>
          <w:szCs w:val="24"/>
        </w:rPr>
        <w:t>应用CAD软件</w:t>
      </w:r>
      <w:r>
        <w:rPr>
          <w:rFonts w:ascii="宋体" w:hAnsi="宋体" w:eastAsia="宋体" w:cs="宋体"/>
          <w:sz w:val="24"/>
          <w:szCs w:val="24"/>
        </w:rPr>
        <w:t>正确绘制和阅读不太复杂的钢筋混凝土结构、砖混结构的图样，熟悉现行的房屋建筑制图标准。图样正确，布图匀称，图面整洁，符合标准，图线分明，尺寸齐全；实训教学“情境”建议，学生与教师参与讨论，同时参考建筑设计相关书籍。</w:t>
      </w:r>
    </w:p>
    <w:p>
      <w:pPr>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2、建筑测量课程设计</w:t>
      </w:r>
    </w:p>
    <w:p>
      <w:pPr>
        <w:spacing w:line="360" w:lineRule="auto"/>
        <w:ind w:firstLine="482" w:firstLineChars="200"/>
        <w:rPr>
          <w:rFonts w:ascii="宋体" w:hAnsi="宋体" w:eastAsia="宋体" w:cs="宋体"/>
          <w:sz w:val="24"/>
          <w:szCs w:val="24"/>
        </w:rPr>
      </w:pPr>
      <w:r>
        <w:rPr>
          <w:rFonts w:hint="eastAsia" w:ascii="宋体" w:hAnsi="宋体" w:eastAsia="宋体" w:cs="宋体"/>
          <w:b/>
          <w:bCs/>
          <w:sz w:val="24"/>
          <w:szCs w:val="24"/>
        </w:rPr>
        <w:t>课程目标：</w:t>
      </w:r>
      <w:r>
        <w:rPr>
          <w:rFonts w:hint="eastAsia" w:ascii="宋体" w:hAnsi="宋体" w:eastAsia="宋体" w:cs="宋体"/>
          <w:sz w:val="24"/>
          <w:szCs w:val="24"/>
        </w:rPr>
        <w:t>建筑测量课程设计是在建筑工程技术专业学生学完《建筑测量》内容后，为了巩固所学过的理论知识，加强同学们的动手操作能力而安排的一次综合训练。进一步巩固和加深测量基本理论和技术方法的理解和掌握、并使之系统化、整体化。通过课程设计的全过程、提高使用测绘仪器的操作能力、测量计算能力和绘图能力、掌握测量基本技术工作的原则和步骤。在各个实践性环节培养应用测量基本理论综合分析问题和解决问题的能力、训练严谨的科学态度和工作作风。</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主要内容：</w:t>
      </w:r>
      <w:r>
        <w:rPr>
          <w:rFonts w:hint="eastAsia" w:ascii="宋体" w:hAnsi="宋体" w:eastAsia="宋体" w:cs="宋体"/>
          <w:sz w:val="24"/>
          <w:szCs w:val="24"/>
        </w:rPr>
        <w:t>水准仪、经纬仪操作及检校；角度测量；导线测量；水准测量；建筑物的测设以及上属工作的内业计算。</w:t>
      </w:r>
    </w:p>
    <w:p>
      <w:pPr>
        <w:spacing w:line="360" w:lineRule="auto"/>
        <w:ind w:firstLine="481"/>
        <w:outlineLvl w:val="0"/>
        <w:rPr>
          <w:rFonts w:hint="eastAsia" w:ascii="宋体" w:hAnsi="宋体" w:eastAsia="宋体" w:cs="宋体"/>
          <w:sz w:val="24"/>
          <w:szCs w:val="24"/>
        </w:rPr>
      </w:pPr>
      <w:r>
        <w:rPr>
          <w:rFonts w:hint="eastAsia" w:ascii="宋体" w:hAnsi="宋体" w:eastAsia="宋体" w:cs="宋体"/>
          <w:b/>
          <w:bCs/>
          <w:sz w:val="24"/>
          <w:szCs w:val="24"/>
        </w:rPr>
        <w:t>教学要求：</w:t>
      </w:r>
      <w:r>
        <w:rPr>
          <w:rFonts w:hint="eastAsia" w:ascii="宋体" w:hAnsi="宋体" w:eastAsia="宋体" w:cs="宋体"/>
          <w:sz w:val="24"/>
          <w:szCs w:val="24"/>
        </w:rPr>
        <w:t>通过本次实习要求学生了解水准仪、经纬仪的基本构造；熟悉水准仪、 经纬仪各部件的作用及其检校；熟练掌握水准仪、经纬仪操作角度测量；导线测量；水准测量；建筑物的测设以及上属工作的内业计算。建筑测量课程设计是综合性实践教学、有明确计划性，实习外业工作在校园里开展、车辆和行人干扰因素较多、实习工作以小组为单位、独立作业、工作强度大。为了保证完成教学任务、必须有高度组织纪律性、协调一致完成各项实习工作。各小组根据实习安排、制定工作计划并执行。各小组实习工作计划可按实习基本过程和实习日历详细制定。每位同学按小组安排、充分准备、认真完成当天工作。学生课程设计期间要注意安全、爱护仪器工具、防止事故。</w:t>
      </w:r>
    </w:p>
    <w:p>
      <w:pPr>
        <w:spacing w:line="360" w:lineRule="auto"/>
        <w:ind w:firstLine="481"/>
        <w:outlineLvl w:val="0"/>
        <w:rPr>
          <w:rFonts w:ascii="宋体" w:hAnsi="宋体" w:eastAsia="宋体" w:cs="宋体"/>
          <w:b/>
          <w:bCs/>
          <w:sz w:val="24"/>
          <w:szCs w:val="24"/>
        </w:rPr>
      </w:pPr>
      <w:r>
        <w:rPr>
          <w:rFonts w:hint="eastAsia" w:ascii="宋体" w:hAnsi="宋体" w:eastAsia="宋体" w:cs="宋体"/>
          <w:b/>
          <w:bCs/>
          <w:sz w:val="24"/>
          <w:szCs w:val="24"/>
        </w:rPr>
        <w:t>3、平法识图课程设计</w:t>
      </w:r>
    </w:p>
    <w:p>
      <w:pPr>
        <w:adjustRightInd w:val="0"/>
        <w:spacing w:line="360" w:lineRule="auto"/>
        <w:ind w:firstLine="482" w:firstLineChars="200"/>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宋体"/>
          <w:kern w:val="0"/>
          <w:sz w:val="24"/>
          <w:szCs w:val="24"/>
        </w:rPr>
        <w:t>通过本课程的学习，让学生熟练掌握平法施工图识读技巧，快速熟悉施工图内容；掌握各结构构件配筋构造，并能进行钢筋翻样；掌握钢筋工程量计算原理，独立完成钢筋算量工作；熟练使用建筑规范及标准图集等专业工具书籍。</w:t>
      </w:r>
    </w:p>
    <w:p>
      <w:pPr>
        <w:adjustRightInd w:val="0"/>
        <w:spacing w:line="360" w:lineRule="auto"/>
        <w:ind w:firstLine="482" w:firstLineChars="200"/>
        <w:rPr>
          <w:rFonts w:hint="eastAsia" w:ascii="Calibri" w:hAnsi="Calibri" w:eastAsia="宋体" w:cs="Times New Roman"/>
          <w:color w:val="000000"/>
          <w:sz w:val="24"/>
          <w:szCs w:val="24"/>
        </w:rPr>
      </w:pPr>
      <w:r>
        <w:rPr>
          <w:rFonts w:hint="eastAsia" w:ascii="宋体" w:hAnsi="宋体" w:eastAsia="宋体" w:cs="宋体"/>
          <w:b/>
          <w:bCs/>
          <w:kern w:val="0"/>
          <w:sz w:val="24"/>
          <w:szCs w:val="24"/>
        </w:rPr>
        <w:t>主要内容：</w:t>
      </w:r>
      <w:r>
        <w:rPr>
          <w:rFonts w:hint="eastAsia" w:ascii="宋体" w:hAnsi="宋体" w:eastAsia="宋体" w:cs="宋体"/>
          <w:kern w:val="0"/>
          <w:sz w:val="24"/>
          <w:szCs w:val="24"/>
        </w:rPr>
        <w:t>通过本课程的学习，使学生了解平法制图的概念，掌握框架柱、梁、剪力墙、板的平法表示方法及注写方式，熟悉框架柱、梁、剪力墙、板的构造详图，</w:t>
      </w:r>
      <w:r>
        <w:rPr>
          <w:rFonts w:hint="eastAsia" w:ascii="宋体" w:hAnsi="宋体" w:eastAsia="宋体" w:cs="Times New Roman"/>
          <w:color w:val="000000"/>
          <w:sz w:val="24"/>
          <w:szCs w:val="24"/>
        </w:rPr>
        <w:t>能使用标准图集看懂混凝土平法施工图，从而确定结构中钢筋的形状、走向和尺寸，会计算其钢筋量。</w:t>
      </w:r>
    </w:p>
    <w:p>
      <w:pPr>
        <w:adjustRightInd w:val="0"/>
        <w:spacing w:line="360" w:lineRule="auto"/>
        <w:ind w:firstLine="482" w:firstLineChars="200"/>
        <w:rPr>
          <w:rFonts w:ascii="宋体" w:hAnsi="宋体" w:eastAsia="宋体" w:cs="Times New Roman"/>
          <w:color w:val="000000"/>
          <w:sz w:val="24"/>
          <w:szCs w:val="24"/>
        </w:rPr>
      </w:pPr>
      <w:r>
        <w:rPr>
          <w:rFonts w:hint="eastAsia" w:ascii="宋体" w:hAnsi="宋体" w:eastAsia="宋体" w:cs="Times New Roman"/>
          <w:b/>
          <w:bCs/>
          <w:color w:val="000000"/>
          <w:sz w:val="24"/>
          <w:szCs w:val="24"/>
        </w:rPr>
        <w:t>教学要求：</w:t>
      </w:r>
      <w:r>
        <w:rPr>
          <w:rFonts w:ascii="宋体" w:hAnsi="宋体" w:eastAsia="宋体" w:cs="Times New Roman"/>
          <w:color w:val="000000"/>
          <w:sz w:val="24"/>
          <w:szCs w:val="24"/>
        </w:rPr>
        <w:t>通过具体的工程案例分析教学，能使学生从微观到宏观、全过程全方位准确把握</w:t>
      </w:r>
      <w:r>
        <w:rPr>
          <w:rFonts w:hint="eastAsia" w:ascii="宋体" w:hAnsi="宋体" w:eastAsia="宋体" w:cs="Times New Roman"/>
          <w:color w:val="000000"/>
          <w:sz w:val="24"/>
          <w:szCs w:val="24"/>
        </w:rPr>
        <w:t>钢筋计算</w:t>
      </w:r>
      <w:r>
        <w:rPr>
          <w:rFonts w:ascii="宋体" w:hAnsi="宋体" w:eastAsia="宋体" w:cs="Times New Roman"/>
          <w:color w:val="000000"/>
          <w:sz w:val="24"/>
          <w:szCs w:val="24"/>
        </w:rPr>
        <w:t>的脉络。</w:t>
      </w:r>
    </w:p>
    <w:p>
      <w:pPr>
        <w:spacing w:line="360" w:lineRule="auto"/>
        <w:ind w:left="420" w:leftChars="200"/>
        <w:outlineLvl w:val="0"/>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4、</w:t>
      </w:r>
      <w:r>
        <w:rPr>
          <w:rFonts w:hint="eastAsia" w:ascii="宋体" w:hAnsi="宋体" w:eastAsia="宋体" w:cs="宋体"/>
          <w:b/>
          <w:bCs/>
          <w:kern w:val="0"/>
          <w:sz w:val="24"/>
          <w:szCs w:val="24"/>
        </w:rPr>
        <w:t>施工组织课程设计</w:t>
      </w:r>
    </w:p>
    <w:p>
      <w:pPr>
        <w:spacing w:line="360" w:lineRule="auto"/>
        <w:ind w:firstLine="422" w:firstLineChars="175"/>
        <w:outlineLvl w:val="0"/>
        <w:rPr>
          <w:rFonts w:hint="eastAsia" w:ascii="宋体" w:hAnsi="宋体" w:eastAsia="宋体" w:cs="宋体"/>
          <w:sz w:val="24"/>
          <w:szCs w:val="24"/>
        </w:rPr>
      </w:pPr>
      <w:r>
        <w:rPr>
          <w:rFonts w:ascii="宋体" w:hAnsi="宋体" w:eastAsia="宋体" w:cs="宋体"/>
          <w:b/>
          <w:bCs/>
          <w:sz w:val="24"/>
          <w:szCs w:val="24"/>
        </w:rPr>
        <w:t>课程目标：</w:t>
      </w:r>
      <w:r>
        <w:rPr>
          <w:rFonts w:hint="eastAsia" w:ascii="宋体" w:hAnsi="宋体" w:eastAsia="宋体" w:cs="宋体"/>
          <w:sz w:val="24"/>
          <w:szCs w:val="24"/>
        </w:rPr>
        <w:t>施工组织课程设计实训课程是建筑施工技术专业一门主要的必修实践环节，通过本实训，培养学生编制单位工程施工组织设计文件的能力和运用单位工程施工组织设计文件组织建筑工程项目施工的能力了解单位工程施工组织研究的对象和基本任务。</w:t>
      </w:r>
    </w:p>
    <w:p>
      <w:pPr>
        <w:spacing w:line="360" w:lineRule="auto"/>
        <w:ind w:firstLine="482" w:firstLineChars="200"/>
        <w:rPr>
          <w:rFonts w:ascii="Calibri" w:hAnsi="Calibri" w:eastAsia="宋体" w:cs="Times New Roman"/>
          <w:szCs w:val="21"/>
        </w:rPr>
      </w:pPr>
      <w:r>
        <w:rPr>
          <w:rFonts w:hint="eastAsia" w:ascii="宋体" w:hAnsi="宋体" w:eastAsia="宋体" w:cs="宋体"/>
          <w:b/>
          <w:bCs/>
          <w:sz w:val="24"/>
          <w:szCs w:val="24"/>
        </w:rPr>
        <w:t>主要内容：</w:t>
      </w:r>
      <w:r>
        <w:rPr>
          <w:rFonts w:hint="eastAsia" w:ascii="宋体" w:hAnsi="宋体" w:eastAsia="宋体" w:cs="宋体"/>
          <w:sz w:val="24"/>
          <w:szCs w:val="24"/>
        </w:rPr>
        <w:t>训练学生分组编制单位工程施工组织设计文件，要求学生根据指定的工程图纸和信息，划分流水施工段和施工项目，确定施工项目的工程量和工种人数，查定额计算出劳动量和流水节拍。编制施工进度计划和施工现场总平面图，培养学生运用单位工程施工组织设计文件组织建筑工程项目施工的能力。</w:t>
      </w:r>
    </w:p>
    <w:p>
      <w:pPr>
        <w:widowControl w:val="0"/>
        <w:spacing w:line="360" w:lineRule="auto"/>
        <w:ind w:firstLine="482" w:firstLineChars="200"/>
        <w:jc w:val="both"/>
        <w:rPr>
          <w:rFonts w:hint="eastAsia" w:ascii="宋体" w:hAnsi="宋体" w:eastAsia="宋体" w:cs="宋体"/>
          <w:kern w:val="0"/>
          <w:sz w:val="24"/>
          <w:szCs w:val="24"/>
          <w:vertAlign w:val="baseline"/>
          <w:lang w:val="en-US" w:eastAsia="zh-CN" w:bidi="ar-SA"/>
        </w:rPr>
      </w:pPr>
      <w:r>
        <w:rPr>
          <w:rFonts w:hint="eastAsia" w:ascii="宋体" w:hAnsi="宋体" w:eastAsia="宋体" w:cs="宋体"/>
          <w:b/>
          <w:bCs/>
          <w:kern w:val="0"/>
          <w:sz w:val="24"/>
          <w:szCs w:val="24"/>
          <w:vertAlign w:val="baseline"/>
          <w:lang w:val="en-US" w:eastAsia="zh-CN" w:bidi="ar-SA"/>
        </w:rPr>
        <w:t>教学要求：</w:t>
      </w:r>
      <w:r>
        <w:rPr>
          <w:rFonts w:hint="eastAsia" w:ascii="宋体" w:hAnsi="宋体" w:eastAsia="宋体" w:cs="宋体"/>
          <w:kern w:val="0"/>
          <w:sz w:val="24"/>
          <w:szCs w:val="24"/>
          <w:vertAlign w:val="baseline"/>
          <w:lang w:val="en-US" w:eastAsia="zh-CN" w:bidi="ar-SA"/>
        </w:rPr>
        <w:t>施工组织课程设计，要综合应用各门与本设计有关的课程，联系各种实习活动接触过的生产情况检验所学的理论知识，再以理论解决生产中出现的实际问题。在整个施工组织设计过程中，要着重做一案一表，一图的设计工作。即：施工方案的选择（其中主要解决施工方法，施工顺序，流向和施工机械的确定）；施工进度计划的编制（流水施工进度表或流水网络计划）；施工平面的布置（合理布置各种材料，机具等）。以掌握施工组织设计的基本理论和编制方法，为毕业后从事建筑工程施工，组织，管理工作打下基础。</w:t>
      </w:r>
    </w:p>
    <w:p>
      <w:pPr>
        <w:spacing w:line="360" w:lineRule="auto"/>
        <w:ind w:firstLine="241" w:firstLineChars="100"/>
        <w:outlineLvl w:val="0"/>
        <w:rPr>
          <w:rFonts w:hint="eastAsia" w:ascii="宋体" w:hAnsi="宋体" w:eastAsia="宋体" w:cs="宋体"/>
          <w:b/>
          <w:bCs/>
          <w:kern w:val="0"/>
          <w:sz w:val="24"/>
          <w:szCs w:val="24"/>
        </w:rPr>
      </w:pPr>
      <w:r>
        <w:rPr>
          <w:rFonts w:hint="eastAsia" w:ascii="宋体" w:hAnsi="宋体" w:eastAsia="宋体" w:cs="宋体"/>
          <w:b/>
          <w:bCs/>
          <w:kern w:val="0"/>
          <w:sz w:val="24"/>
          <w:szCs w:val="24"/>
          <w:lang w:val="en-US" w:eastAsia="zh-CN"/>
        </w:rPr>
        <w:t>5</w:t>
      </w:r>
      <w:r>
        <w:rPr>
          <w:rFonts w:hint="eastAsia" w:ascii="宋体" w:hAnsi="宋体" w:eastAsia="宋体" w:cs="宋体"/>
          <w:b/>
          <w:bCs/>
          <w:kern w:val="0"/>
          <w:sz w:val="24"/>
          <w:szCs w:val="24"/>
        </w:rPr>
        <w:t>、建筑工程预算课程设计（含上机操作）</w:t>
      </w:r>
    </w:p>
    <w:p>
      <w:pPr>
        <w:spacing w:line="360" w:lineRule="auto"/>
        <w:ind w:firstLine="482" w:firstLineChars="200"/>
        <w:rPr>
          <w:rFonts w:hint="eastAsia" w:ascii="宋体" w:hAnsi="宋体" w:eastAsia="宋体" w:cs="宋体"/>
          <w:sz w:val="24"/>
          <w:szCs w:val="24"/>
          <w:lang w:eastAsia="zh-CN"/>
        </w:rPr>
      </w:pPr>
      <w:r>
        <w:rPr>
          <w:rFonts w:ascii="宋体" w:hAnsi="宋体" w:eastAsia="宋体" w:cs="宋体"/>
          <w:b/>
          <w:bCs/>
          <w:sz w:val="24"/>
          <w:szCs w:val="24"/>
        </w:rPr>
        <w:t>课程目标：</w:t>
      </w:r>
      <w:r>
        <w:rPr>
          <w:rFonts w:ascii="宋体" w:hAnsi="宋体" w:eastAsia="宋体" w:cs="宋体"/>
          <w:sz w:val="24"/>
          <w:szCs w:val="24"/>
        </w:rPr>
        <w:t>使工程造价专业学生通过本课程设计，熟悉定额工程量计算规则，全面、系统地掌握建筑装饰装修工程定额计价编制的全过程，初步熟悉计价软件的应用，培养和训练本专业学生的实际动手能力和工作能力。同时，通过课程设计对学生以往所学习的专业基础知识，在实际运用中进行回顾、巩固、总结和提高。</w:t>
      </w:r>
    </w:p>
    <w:p>
      <w:pPr>
        <w:spacing w:line="360" w:lineRule="auto"/>
        <w:ind w:firstLine="482" w:firstLineChars="200"/>
        <w:rPr>
          <w:rFonts w:hint="eastAsia" w:ascii="宋体" w:hAnsi="宋体" w:eastAsia="宋体" w:cs="宋体"/>
          <w:sz w:val="24"/>
          <w:szCs w:val="24"/>
          <w:lang w:eastAsia="zh-CN"/>
        </w:rPr>
      </w:pPr>
      <w:r>
        <w:rPr>
          <w:rFonts w:ascii="宋体" w:hAnsi="宋体" w:eastAsia="宋体" w:cs="宋体"/>
          <w:b/>
          <w:bCs/>
          <w:sz w:val="24"/>
          <w:szCs w:val="24"/>
        </w:rPr>
        <w:t>主要内容：</w:t>
      </w:r>
      <w:r>
        <w:rPr>
          <w:rFonts w:ascii="宋体" w:hAnsi="宋体" w:eastAsia="宋体" w:cs="宋体"/>
          <w:sz w:val="24"/>
          <w:szCs w:val="24"/>
        </w:rPr>
        <w:t>计算四线三面，建筑面积，平整场地；计算土石方工程，基础工程量；计算混凝土墙梁板柱工程量；计算砌体工程量、门窗、过梁等项目工程量；计算梁钢筋工程量；计算板钢筋工程量； 计算柱钢筋工程量并汇总所以钢筋工程量；计算规定子目综合单价；整理归档、自检、互检；提交并答辩。</w:t>
      </w:r>
    </w:p>
    <w:p>
      <w:pPr>
        <w:spacing w:line="360" w:lineRule="auto"/>
        <w:ind w:firstLine="482" w:firstLineChars="200"/>
        <w:rPr>
          <w:rFonts w:hint="eastAsia" w:ascii="宋体" w:hAnsi="宋体" w:eastAsia="宋体" w:cs="宋体"/>
          <w:kern w:val="0"/>
          <w:sz w:val="24"/>
          <w:szCs w:val="24"/>
          <w:vertAlign w:val="baseline"/>
          <w:lang w:val="en-US" w:eastAsia="zh-CN" w:bidi="ar-SA"/>
        </w:rPr>
      </w:pPr>
      <w:r>
        <w:rPr>
          <w:rFonts w:ascii="宋体" w:hAnsi="宋体" w:eastAsia="宋体" w:cs="宋体"/>
          <w:b/>
          <w:bCs/>
          <w:sz w:val="24"/>
          <w:szCs w:val="24"/>
        </w:rPr>
        <w:t>教学要求：</w:t>
      </w:r>
      <w:r>
        <w:rPr>
          <w:rFonts w:ascii="宋体" w:hAnsi="宋体" w:eastAsia="宋体" w:cs="宋体"/>
          <w:sz w:val="24"/>
          <w:szCs w:val="24"/>
        </w:rPr>
        <w:t>使工程造价专业学生通过本课程设计，熟悉定额工程量计算规则，全面、系统地掌握建筑装饰装修工程定额计价编制的全过程，初步熟悉计价软件的应用，培养和训练本专业学生的实际动手能力和工作能力。同时，通过课程设计对学生以往所学习的专业基础知识，在实际运用中进行回顾、巩固、总结和提高。使学生学到一门为鉴订施工合同，编制施工计划，进行施工备料以及施工管理、施工统计、经济核算等提供相关的预算资料的实用技术。能够依据工程量清单和招标文件,运用一定的计价依据(预算定额)和指导书提供的相应工程造价信息，根据指导书给出的背景资料，考虑合理的经营策略，投标报价技巧，快速、准确，编制承包商投标报价书。</w:t>
      </w:r>
    </w:p>
    <w:p>
      <w:pPr>
        <w:spacing w:line="360" w:lineRule="auto"/>
        <w:ind w:left="420" w:leftChars="200"/>
        <w:rPr>
          <w:rFonts w:hint="eastAsia" w:ascii="宋体" w:hAnsi="宋体" w:eastAsia="宋体" w:cs="Times New Roman"/>
          <w:b/>
          <w:bCs/>
          <w:sz w:val="24"/>
        </w:rPr>
      </w:pPr>
      <w:r>
        <w:rPr>
          <w:rFonts w:hint="eastAsia" w:ascii="宋体" w:hAnsi="宋体" w:eastAsia="宋体" w:cs="Times New Roman"/>
          <w:b/>
          <w:bCs/>
          <w:sz w:val="24"/>
        </w:rPr>
        <w:t>6、专业综合技能训练</w:t>
      </w:r>
    </w:p>
    <w:p>
      <w:pPr>
        <w:spacing w:line="360" w:lineRule="auto"/>
        <w:ind w:firstLine="422" w:firstLineChars="175"/>
        <w:rPr>
          <w:rFonts w:hint="eastAsia" w:ascii="宋体" w:hAnsi="宋体" w:eastAsia="宋体" w:cs="宋体"/>
          <w:kern w:val="0"/>
          <w:sz w:val="24"/>
          <w:szCs w:val="24"/>
        </w:rPr>
      </w:pPr>
      <w:r>
        <w:rPr>
          <w:rFonts w:hint="eastAsia" w:ascii="宋体" w:hAnsi="宋体" w:eastAsia="宋体" w:cs="宋体"/>
          <w:b/>
          <w:bCs/>
          <w:kern w:val="0"/>
          <w:sz w:val="24"/>
          <w:szCs w:val="24"/>
        </w:rPr>
        <w:t>课程目标：</w:t>
      </w:r>
      <w:r>
        <w:rPr>
          <w:rFonts w:hint="eastAsia" w:ascii="宋体" w:hAnsi="宋体" w:eastAsia="宋体" w:cs="Times New Roman"/>
          <w:sz w:val="24"/>
        </w:rPr>
        <w:t>专业综合技能训练</w:t>
      </w:r>
      <w:r>
        <w:rPr>
          <w:rFonts w:hint="eastAsia" w:ascii="宋体" w:hAnsi="宋体" w:eastAsia="宋体" w:cs="宋体"/>
          <w:kern w:val="0"/>
          <w:sz w:val="24"/>
          <w:szCs w:val="24"/>
        </w:rPr>
        <w:t>是学生在校学习期间最后一次综合性的训练，是学生在学完本专业课程的基础上，系统地应用所学过的专业知识综合地解决建筑工程专业问题。《建筑工程技术专业综合</w:t>
      </w:r>
      <w:r>
        <w:rPr>
          <w:rFonts w:hint="eastAsia" w:ascii="宋体" w:hAnsi="宋体" w:eastAsia="宋体" w:cs="Times New Roman"/>
          <w:sz w:val="24"/>
        </w:rPr>
        <w:t>技能训练</w:t>
      </w:r>
      <w:r>
        <w:rPr>
          <w:rFonts w:hint="eastAsia" w:ascii="宋体" w:hAnsi="宋体" w:eastAsia="宋体" w:cs="宋体"/>
          <w:kern w:val="0"/>
          <w:sz w:val="24"/>
          <w:szCs w:val="24"/>
        </w:rPr>
        <w:t>》课程强调学生的软件应用能力和施工管理能力，重视基本技能的训练，把实践课程与课堂理论教学结合起来，加深学生对理论知识的理解，培养学生编制单位工程施工组织设计文件的能力和运用单位工程施工组织设计文件组织建筑工程项目施工的能力和方法。使学生在参加工作前得到基本训练，使学生毕业后能适应一般施工单位对施工管理岗位的要求，从而在参加工作时能独立从事施工单位的施工技术及组织管理工作。</w:t>
      </w:r>
    </w:p>
    <w:p>
      <w:pPr>
        <w:spacing w:line="360" w:lineRule="auto"/>
        <w:ind w:firstLine="482" w:firstLineChars="200"/>
        <w:outlineLvl w:val="0"/>
        <w:rPr>
          <w:rFonts w:ascii="宋体" w:hAnsi="宋体" w:eastAsia="宋体" w:cs="Times New Roman"/>
          <w:sz w:val="24"/>
        </w:rPr>
      </w:pPr>
      <w:r>
        <w:rPr>
          <w:rFonts w:hint="eastAsia" w:ascii="宋体" w:hAnsi="宋体" w:eastAsia="宋体" w:cs="Times New Roman"/>
          <w:b/>
          <w:bCs/>
          <w:sz w:val="24"/>
        </w:rPr>
        <w:t>主要内容：</w:t>
      </w:r>
      <w:r>
        <w:rPr>
          <w:rFonts w:hint="eastAsia" w:ascii="宋体" w:hAnsi="宋体" w:eastAsia="宋体" w:cs="Times New Roman"/>
          <w:sz w:val="24"/>
        </w:rPr>
        <w:t>《建筑工程技术专业</w:t>
      </w:r>
      <w:r>
        <w:rPr>
          <w:rFonts w:hint="eastAsia" w:ascii="宋体" w:hAnsi="宋体" w:eastAsia="宋体" w:cs="宋体"/>
          <w:kern w:val="0"/>
          <w:sz w:val="24"/>
          <w:szCs w:val="24"/>
        </w:rPr>
        <w:t>综合</w:t>
      </w:r>
      <w:r>
        <w:rPr>
          <w:rFonts w:hint="eastAsia" w:ascii="宋体" w:hAnsi="宋体" w:eastAsia="宋体" w:cs="Times New Roman"/>
          <w:sz w:val="24"/>
        </w:rPr>
        <w:t>技能训练》是沿用前期项目教学时所选用的一套实际工程施工图纸为载体，要求学生在指导老师的指导下，综合运用建筑二维、三维建模软件和工程算量软件、建筑沙盘管理软件等课程所学知识，独立完成一套完整的单位工程施工图的绘制、算量和施工组织设计编制任务。</w:t>
      </w:r>
    </w:p>
    <w:p>
      <w:pPr>
        <w:spacing w:line="360" w:lineRule="auto"/>
        <w:ind w:firstLine="482" w:firstLineChars="200"/>
        <w:outlineLvl w:val="0"/>
        <w:rPr>
          <w:rFonts w:ascii="宋体" w:hAnsi="宋体" w:eastAsia="宋体" w:cs="Times New Roman"/>
          <w:sz w:val="24"/>
        </w:rPr>
      </w:pPr>
      <w:r>
        <w:rPr>
          <w:rFonts w:hint="eastAsia" w:ascii="宋体" w:hAnsi="宋体" w:eastAsia="宋体" w:cs="Times New Roman"/>
          <w:b/>
          <w:bCs/>
          <w:sz w:val="24"/>
        </w:rPr>
        <w:t>教学要求：</w:t>
      </w:r>
      <w:r>
        <w:rPr>
          <w:rFonts w:hint="eastAsia" w:ascii="宋体" w:hAnsi="宋体" w:eastAsia="宋体" w:cs="Times New Roman"/>
          <w:sz w:val="24"/>
        </w:rPr>
        <w:t>通过专业</w:t>
      </w:r>
      <w:r>
        <w:rPr>
          <w:rFonts w:hint="eastAsia" w:ascii="宋体" w:hAnsi="宋体" w:eastAsia="宋体" w:cs="宋体"/>
          <w:kern w:val="0"/>
          <w:sz w:val="24"/>
          <w:szCs w:val="24"/>
        </w:rPr>
        <w:t>综合</w:t>
      </w:r>
      <w:r>
        <w:rPr>
          <w:rFonts w:hint="eastAsia" w:ascii="宋体" w:hAnsi="宋体" w:eastAsia="宋体" w:cs="Times New Roman"/>
          <w:sz w:val="24"/>
        </w:rPr>
        <w:t>技能训练，要求学生掌握一套单位工程图纸的CAD二维施工图绘制和REVIT三维建模，熟悉工程预算的编制方法和编制技巧，并对该建筑工程项目的施工方案、进度管理和安全技术措施等相关技能有一个全面的了解和掌握，达到“巩固、深化和扩展所学知识，培养、锻炼学生运用所学专业知识解决工程实际问题的能力”的目的，为走上工作岗位后能尽快胜任建筑工程技术专业各种工作岗位奠定基础。</w:t>
      </w:r>
    </w:p>
    <w:p>
      <w:pPr>
        <w:spacing w:line="360" w:lineRule="auto"/>
        <w:ind w:left="420" w:leftChars="200"/>
        <w:jc w:val="left"/>
        <w:rPr>
          <w:rFonts w:hint="eastAsia" w:ascii="宋体" w:hAnsi="宋体" w:eastAsia="宋体" w:cs="Times New Roman"/>
          <w:b/>
          <w:bCs/>
          <w:sz w:val="24"/>
        </w:rPr>
      </w:pPr>
      <w:r>
        <w:rPr>
          <w:rFonts w:hint="eastAsia" w:ascii="宋体" w:hAnsi="宋体" w:eastAsia="宋体" w:cs="Times New Roman"/>
          <w:b/>
          <w:bCs/>
          <w:sz w:val="24"/>
        </w:rPr>
        <w:t>7、顶岗实习</w:t>
      </w:r>
    </w:p>
    <w:p>
      <w:pPr>
        <w:spacing w:line="360" w:lineRule="auto"/>
        <w:ind w:firstLine="422" w:firstLineChars="175"/>
        <w:rPr>
          <w:rFonts w:ascii="宋体" w:hAnsi="宋体" w:eastAsia="宋体" w:cs="Times New Roman"/>
          <w:bCs/>
          <w:sz w:val="24"/>
        </w:rPr>
      </w:pPr>
      <w:r>
        <w:rPr>
          <w:rFonts w:hint="eastAsia" w:ascii="宋体" w:hAnsi="宋体" w:eastAsia="宋体" w:cs="宋体"/>
          <w:b/>
          <w:bCs/>
          <w:kern w:val="0"/>
          <w:sz w:val="24"/>
          <w:szCs w:val="24"/>
        </w:rPr>
        <w:t>课程目标：</w:t>
      </w:r>
      <w:r>
        <w:rPr>
          <w:rFonts w:hint="eastAsia" w:ascii="宋体" w:hAnsi="宋体" w:eastAsia="宋体" w:cs="Times New Roman"/>
          <w:sz w:val="24"/>
        </w:rPr>
        <w:t>顶岗</w:t>
      </w:r>
      <w:r>
        <w:rPr>
          <w:rFonts w:ascii="宋体" w:hAnsi="宋体" w:eastAsia="宋体" w:cs="Times New Roman"/>
          <w:bCs/>
          <w:sz w:val="24"/>
        </w:rPr>
        <w:t>实习是实现高职院校培养目标的有效途径和重要保证，也是培养毕业生职业综合素质的重要途径，对提高毕业生的就业率、就业对口率和就业满意度，具有十分重要的意义</w:t>
      </w:r>
      <w:r>
        <w:rPr>
          <w:rFonts w:hint="eastAsia" w:ascii="宋体" w:hAnsi="宋体" w:eastAsia="宋体" w:cs="Times New Roman"/>
          <w:bCs/>
          <w:sz w:val="24"/>
        </w:rPr>
        <w:t>：</w:t>
      </w:r>
      <w:r>
        <w:rPr>
          <w:rFonts w:ascii="宋体" w:hAnsi="宋体" w:eastAsia="宋体" w:cs="Times New Roman"/>
          <w:bCs/>
          <w:sz w:val="24"/>
        </w:rPr>
        <w:t>培养学生综合运用所学专业的基础理论、基本技能和专业知识，提高发现问题、分析问题和解决问题的能力；培养学生参加生产实践活动的习惯，提高学生的动手能力和解决实际问题的能力；培养学生的创新精神、认真的工作态度和求实的工作作风，增强学生综合素质及对工作岗位的适应能力。</w:t>
      </w:r>
    </w:p>
    <w:p>
      <w:pPr>
        <w:spacing w:line="360" w:lineRule="auto"/>
        <w:ind w:firstLine="412" w:firstLineChars="171"/>
        <w:jc w:val="left"/>
        <w:rPr>
          <w:rFonts w:hint="eastAsia" w:ascii="宋体" w:hAnsi="宋体" w:eastAsia="宋体" w:cs="Times New Roman"/>
          <w:sz w:val="24"/>
        </w:rPr>
      </w:pPr>
      <w:r>
        <w:rPr>
          <w:rFonts w:hint="eastAsia" w:ascii="宋体" w:hAnsi="宋体" w:eastAsia="宋体" w:cs="Times New Roman"/>
          <w:b/>
          <w:bCs/>
          <w:sz w:val="24"/>
        </w:rPr>
        <w:t>主要内容：</w:t>
      </w:r>
      <w:r>
        <w:rPr>
          <w:rFonts w:hint="eastAsia" w:ascii="宋体" w:hAnsi="宋体" w:eastAsia="宋体" w:cs="Times New Roman"/>
          <w:sz w:val="24"/>
        </w:rPr>
        <w:t>学生进入实习工地后，在现场实习指导人（工地上具有一定职称技术管理人员）的指导下，根据实习指导书要求和实习项目的特点制定实习计划；在实习期间，实习生应与指导老师经常保持联系，并按照计划完成生产实习的各部分实习内容，记录实习日记，自觉遵守实习纪律和有关规章制度，接受日常实习考评，在分散实习生较集中的地方，指导教师进行不定期检查和指导。实习结束后，应认真整理和完成有关实习成果，并提交实习总结报告。实习单位应优先选择有一定施工水平和技术能力的施工企业，也可选择设计单位、业主单位和工程监理单位作为实习单位。实习对象应选择中型的工业与民用建筑工程，其结构类型应以钢结构、钢筋混凝土结构、多层砖混结构、装配式单层工业厂房为主，所选项目，应尽可能在基础和主体结构施工高峰时期，以一个项目为主要实习对象并兼顾其他分部分项工程，实习期间应参加两个以上分部分项工程的施工。实习单位指导老师应具备中级以上技术职称施工技术与管理人员。</w:t>
      </w:r>
    </w:p>
    <w:p>
      <w:pPr>
        <w:spacing w:line="360" w:lineRule="auto"/>
        <w:ind w:firstLine="482" w:firstLineChars="200"/>
        <w:outlineLvl w:val="0"/>
        <w:rPr>
          <w:rFonts w:ascii="宋体" w:hAnsi="宋体" w:eastAsia="宋体" w:cs="Times New Roman"/>
          <w:sz w:val="24"/>
        </w:rPr>
      </w:pPr>
      <w:r>
        <w:rPr>
          <w:rFonts w:hint="eastAsia" w:ascii="宋体" w:hAnsi="宋体" w:eastAsia="宋体" w:cs="Times New Roman"/>
          <w:b/>
          <w:bCs/>
          <w:sz w:val="24"/>
        </w:rPr>
        <w:t>教学要求：</w:t>
      </w:r>
      <w:r>
        <w:rPr>
          <w:rFonts w:hint="eastAsia" w:ascii="宋体" w:hAnsi="宋体" w:eastAsia="宋体" w:cs="Times New Roman"/>
          <w:sz w:val="24"/>
        </w:rPr>
        <w:t>顶岗实习要求学生理论</w:t>
      </w:r>
      <w:r>
        <w:rPr>
          <w:rFonts w:ascii="宋体" w:hAnsi="宋体" w:eastAsia="宋体" w:cs="Times New Roman"/>
          <w:sz w:val="24"/>
        </w:rPr>
        <w:t>联系实际，系统地复习在校学过的专业理论，循序渐进，扩大和深化知识面，将所学的理论知识和技能运用到实践中，以获得进一步的补充和提高；培养在实际工作中发现问题、分析问题、解决问题的能力，以适应工作和社会发展的需要。</w:t>
      </w:r>
    </w:p>
    <w:p>
      <w:pPr>
        <w:adjustRightInd w:val="0"/>
        <w:spacing w:line="560" w:lineRule="exact"/>
        <w:rPr>
          <w:rFonts w:ascii="黑体" w:hAnsi="黑体" w:eastAsia="黑体"/>
          <w:b/>
          <w:sz w:val="24"/>
          <w:szCs w:val="24"/>
        </w:rPr>
      </w:pPr>
      <w:r>
        <w:rPr>
          <w:rFonts w:hint="eastAsia" w:ascii="黑体" w:hAnsi="黑体" w:eastAsia="黑体"/>
          <w:b/>
          <w:sz w:val="24"/>
          <w:szCs w:val="24"/>
        </w:rPr>
        <w:t>七</w:t>
      </w:r>
      <w:r>
        <w:rPr>
          <w:rFonts w:ascii="黑体" w:hAnsi="黑体" w:eastAsia="黑体"/>
          <w:b/>
          <w:sz w:val="24"/>
          <w:szCs w:val="24"/>
        </w:rPr>
        <w:t>、教学进程总体安排</w:t>
      </w:r>
    </w:p>
    <w:p>
      <w:pPr>
        <w:pBdr>
          <w:top w:val="dotDash" w:color="auto" w:sz="4" w:space="1"/>
          <w:left w:val="dotDash" w:color="auto" w:sz="4" w:space="4"/>
          <w:bottom w:val="dotDash" w:color="auto" w:sz="4" w:space="1"/>
          <w:right w:val="dotDash" w:color="auto" w:sz="4" w:space="4"/>
        </w:pBdr>
        <w:adjustRightInd w:val="0"/>
        <w:ind w:firstLine="422"/>
        <w:rPr>
          <w:rFonts w:ascii="宋体" w:hAnsi="宋体"/>
          <w:b/>
          <w:szCs w:val="21"/>
        </w:rPr>
      </w:pPr>
      <w:r>
        <w:rPr>
          <w:rFonts w:hint="eastAsia" w:ascii="宋体" w:hAnsi="宋体"/>
          <w:b/>
          <w:szCs w:val="21"/>
        </w:rPr>
        <w:t>填写说明：</w:t>
      </w:r>
      <w:r>
        <w:rPr>
          <w:rFonts w:hint="eastAsia" w:ascii="宋体" w:hAnsi="宋体"/>
          <w:szCs w:val="21"/>
        </w:rPr>
        <w:t>（1）必修课控制在2400学时左右，周学时数原则上控制在24学时左右。公共基础课学时不少于总学时1/4。（2）三年总学分共计145-150学分，其中必修课120-125学分、选修课或活动学分25学分。学分计算时按照理论课16学时/学分计算，实践课（环节）24学时/学分或每周1学分计算。（3）实践性学时占总学时50%以上。</w:t>
      </w: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ind w:firstLine="422" w:firstLineChars="200"/>
        <w:jc w:val="center"/>
        <w:rPr>
          <w:rFonts w:ascii="仿宋" w:hAnsi="仿宋" w:eastAsia="仿宋"/>
          <w:b/>
          <w:szCs w:val="21"/>
        </w:rPr>
      </w:pPr>
    </w:p>
    <w:p>
      <w:pPr>
        <w:adjustRightInd w:val="0"/>
        <w:spacing w:line="560" w:lineRule="exact"/>
        <w:jc w:val="both"/>
        <w:rPr>
          <w:rFonts w:ascii="仿宋" w:hAnsi="仿宋" w:eastAsia="仿宋"/>
          <w:b/>
          <w:szCs w:val="21"/>
        </w:rPr>
      </w:pPr>
    </w:p>
    <w:p>
      <w:pPr>
        <w:adjustRightInd w:val="0"/>
        <w:spacing w:line="560" w:lineRule="exact"/>
        <w:ind w:firstLine="422" w:firstLineChars="200"/>
        <w:jc w:val="center"/>
        <w:rPr>
          <w:rFonts w:ascii="仿宋" w:hAnsi="仿宋" w:eastAsia="仿宋"/>
          <w:b/>
          <w:szCs w:val="21"/>
        </w:rPr>
        <w:sectPr>
          <w:pgSz w:w="11906" w:h="16838"/>
          <w:pgMar w:top="1440" w:right="1800" w:bottom="1440" w:left="1800" w:header="851" w:footer="992" w:gutter="0"/>
          <w:cols w:space="425" w:num="1"/>
          <w:docGrid w:type="lines" w:linePitch="312" w:charSpace="0"/>
        </w:sectPr>
      </w:pPr>
    </w:p>
    <w:p>
      <w:pPr>
        <w:adjustRightInd w:val="0"/>
        <w:spacing w:line="560" w:lineRule="exact"/>
        <w:ind w:firstLine="482" w:firstLineChars="200"/>
        <w:jc w:val="center"/>
        <w:rPr>
          <w:rFonts w:ascii="黑体" w:hAnsi="黑体" w:eastAsia="黑体"/>
          <w:b/>
          <w:sz w:val="32"/>
          <w:szCs w:val="24"/>
        </w:rPr>
      </w:pPr>
      <w:r>
        <w:rPr>
          <w:rFonts w:hint="eastAsia" w:ascii="仿宋" w:hAnsi="仿宋" w:eastAsia="仿宋"/>
          <w:b/>
          <w:sz w:val="24"/>
          <w:szCs w:val="21"/>
        </w:rPr>
        <w:t>表XX 教学进程安排表</w:t>
      </w:r>
    </w:p>
    <w:tbl>
      <w:tblPr>
        <w:tblStyle w:val="12"/>
        <w:tblW w:w="1236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26"/>
        <w:gridCol w:w="426"/>
        <w:gridCol w:w="446"/>
        <w:gridCol w:w="579"/>
        <w:gridCol w:w="1184"/>
        <w:gridCol w:w="570"/>
        <w:gridCol w:w="29"/>
        <w:gridCol w:w="260"/>
        <w:gridCol w:w="379"/>
        <w:gridCol w:w="645"/>
        <w:gridCol w:w="840"/>
        <w:gridCol w:w="720"/>
        <w:gridCol w:w="705"/>
        <w:gridCol w:w="720"/>
        <w:gridCol w:w="197"/>
        <w:gridCol w:w="568"/>
        <w:gridCol w:w="307"/>
        <w:gridCol w:w="368"/>
        <w:gridCol w:w="741"/>
        <w:gridCol w:w="84"/>
        <w:gridCol w:w="666"/>
        <w:gridCol w:w="534"/>
        <w:gridCol w:w="697"/>
        <w:gridCol w:w="2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课程类别</w:t>
            </w:r>
          </w:p>
        </w:tc>
        <w:tc>
          <w:tcPr>
            <w:tcW w:w="446"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课程序号</w:t>
            </w:r>
          </w:p>
        </w:tc>
        <w:tc>
          <w:tcPr>
            <w:tcW w:w="1763" w:type="dxa"/>
            <w:gridSpan w:val="2"/>
            <w:vMerge w:val="restart"/>
            <w:vAlign w:val="center"/>
          </w:tcPr>
          <w:p>
            <w:pPr>
              <w:widowControl/>
              <w:jc w:val="center"/>
              <w:rPr>
                <w:rFonts w:ascii="宋体" w:cs="宋体"/>
                <w:b/>
                <w:bCs/>
                <w:kern w:val="0"/>
                <w:szCs w:val="21"/>
              </w:rPr>
            </w:pPr>
            <w:r>
              <w:rPr>
                <w:rFonts w:hint="eastAsia" w:ascii="宋体" w:hAnsi="宋体" w:cs="宋体"/>
                <w:b/>
                <w:bCs/>
                <w:kern w:val="0"/>
                <w:szCs w:val="21"/>
              </w:rPr>
              <w:t>课程名称</w:t>
            </w:r>
          </w:p>
        </w:tc>
        <w:tc>
          <w:tcPr>
            <w:tcW w:w="1883"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课时分配</w:t>
            </w:r>
          </w:p>
        </w:tc>
        <w:tc>
          <w:tcPr>
            <w:tcW w:w="840" w:type="dxa"/>
            <w:vMerge w:val="restart"/>
            <w:vAlign w:val="center"/>
          </w:tcPr>
          <w:p>
            <w:pPr>
              <w:widowControl/>
              <w:jc w:val="center"/>
              <w:rPr>
                <w:rFonts w:ascii="宋体" w:hAnsi="宋体" w:cs="宋体"/>
                <w:b/>
                <w:bCs/>
                <w:kern w:val="0"/>
                <w:szCs w:val="21"/>
              </w:rPr>
            </w:pPr>
          </w:p>
          <w:p>
            <w:pPr>
              <w:widowControl/>
              <w:jc w:val="center"/>
              <w:rPr>
                <w:rFonts w:ascii="宋体" w:hAnsi="宋体" w:cs="宋体"/>
                <w:b/>
                <w:bCs/>
                <w:kern w:val="0"/>
                <w:szCs w:val="21"/>
              </w:rPr>
            </w:pPr>
            <w:r>
              <w:rPr>
                <w:rFonts w:hint="eastAsia" w:ascii="宋体" w:hAnsi="宋体" w:cs="宋体"/>
                <w:b/>
                <w:bCs/>
                <w:kern w:val="0"/>
                <w:szCs w:val="21"/>
              </w:rPr>
              <w:t>学分</w:t>
            </w:r>
          </w:p>
        </w:tc>
        <w:tc>
          <w:tcPr>
            <w:tcW w:w="4410" w:type="dxa"/>
            <w:gridSpan w:val="9"/>
            <w:noWrap/>
            <w:vAlign w:val="center"/>
          </w:tcPr>
          <w:p>
            <w:pPr>
              <w:widowControl/>
              <w:jc w:val="center"/>
              <w:rPr>
                <w:rFonts w:ascii="宋体" w:cs="宋体"/>
                <w:b/>
                <w:bCs/>
                <w:kern w:val="0"/>
                <w:szCs w:val="21"/>
              </w:rPr>
            </w:pPr>
            <w:r>
              <w:rPr>
                <w:rFonts w:hint="eastAsia" w:ascii="宋体" w:hAnsi="宋体" w:cs="宋体"/>
                <w:b/>
                <w:bCs/>
                <w:kern w:val="0"/>
                <w:szCs w:val="21"/>
              </w:rPr>
              <w:t>每学期教学周数及周学时分配</w:t>
            </w:r>
          </w:p>
        </w:tc>
        <w:tc>
          <w:tcPr>
            <w:tcW w:w="1897" w:type="dxa"/>
            <w:gridSpan w:val="3"/>
            <w:noWrap/>
            <w:vAlign w:val="center"/>
          </w:tcPr>
          <w:p>
            <w:pPr>
              <w:widowControl/>
              <w:jc w:val="center"/>
              <w:rPr>
                <w:rFonts w:ascii="宋体" w:cs="宋体"/>
                <w:b/>
                <w:bCs/>
                <w:kern w:val="0"/>
                <w:szCs w:val="21"/>
              </w:rPr>
            </w:pPr>
            <w:r>
              <w:rPr>
                <w:rFonts w:hint="eastAsia" w:ascii="宋体" w:hAnsi="宋体" w:cs="宋体"/>
                <w:b/>
                <w:bCs/>
                <w:kern w:val="0"/>
                <w:szCs w:val="21"/>
              </w:rPr>
              <w:t>考核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b/>
                <w:bCs/>
                <w:kern w:val="0"/>
                <w:szCs w:val="21"/>
              </w:rPr>
            </w:pPr>
          </w:p>
        </w:tc>
        <w:tc>
          <w:tcPr>
            <w:tcW w:w="446" w:type="dxa"/>
            <w:vMerge w:val="continue"/>
            <w:vAlign w:val="center"/>
          </w:tcPr>
          <w:p>
            <w:pPr>
              <w:widowControl/>
              <w:jc w:val="center"/>
              <w:rPr>
                <w:rFonts w:ascii="宋体" w:cs="宋体"/>
                <w:b/>
                <w:bCs/>
                <w:kern w:val="0"/>
                <w:szCs w:val="21"/>
              </w:rPr>
            </w:pPr>
          </w:p>
        </w:tc>
        <w:tc>
          <w:tcPr>
            <w:tcW w:w="1763" w:type="dxa"/>
            <w:gridSpan w:val="2"/>
            <w:vMerge w:val="continue"/>
            <w:vAlign w:val="center"/>
          </w:tcPr>
          <w:p>
            <w:pPr>
              <w:widowControl/>
              <w:jc w:val="center"/>
              <w:rPr>
                <w:rFonts w:ascii="宋体" w:cs="宋体"/>
                <w:b/>
                <w:bCs/>
                <w:kern w:val="0"/>
                <w:szCs w:val="21"/>
              </w:rPr>
            </w:pPr>
          </w:p>
        </w:tc>
        <w:tc>
          <w:tcPr>
            <w:tcW w:w="570"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理论</w:t>
            </w:r>
          </w:p>
        </w:tc>
        <w:tc>
          <w:tcPr>
            <w:tcW w:w="668" w:type="dxa"/>
            <w:gridSpan w:val="3"/>
            <w:vMerge w:val="restart"/>
            <w:noWrap/>
            <w:vAlign w:val="center"/>
          </w:tcPr>
          <w:p>
            <w:pPr>
              <w:widowControl/>
              <w:jc w:val="center"/>
              <w:rPr>
                <w:rFonts w:ascii="宋体" w:cs="宋体"/>
                <w:b/>
                <w:bCs/>
                <w:kern w:val="0"/>
                <w:szCs w:val="21"/>
              </w:rPr>
            </w:pPr>
            <w:r>
              <w:rPr>
                <w:rFonts w:hint="eastAsia" w:ascii="宋体" w:hAnsi="宋体" w:cs="宋体"/>
                <w:b/>
                <w:bCs/>
                <w:kern w:val="0"/>
                <w:szCs w:val="21"/>
              </w:rPr>
              <w:t>实践</w:t>
            </w:r>
          </w:p>
        </w:tc>
        <w:tc>
          <w:tcPr>
            <w:tcW w:w="645" w:type="dxa"/>
            <w:vMerge w:val="restart"/>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840" w:type="dxa"/>
            <w:vMerge w:val="continue"/>
            <w:vAlign w:val="center"/>
          </w:tcPr>
          <w:p>
            <w:pPr>
              <w:widowControl/>
              <w:jc w:val="center"/>
              <w:rPr>
                <w:rFonts w:ascii="宋体" w:hAnsi="宋体" w:cs="宋体"/>
                <w:b/>
                <w:bCs/>
                <w:kern w:val="0"/>
                <w:szCs w:val="21"/>
              </w:rPr>
            </w:pPr>
          </w:p>
        </w:tc>
        <w:tc>
          <w:tcPr>
            <w:tcW w:w="720" w:type="dxa"/>
            <w:noWrap/>
            <w:vAlign w:val="center"/>
          </w:tcPr>
          <w:p>
            <w:pPr>
              <w:widowControl/>
              <w:jc w:val="center"/>
              <w:rPr>
                <w:rFonts w:ascii="宋体" w:cs="宋体"/>
                <w:b/>
                <w:bCs/>
                <w:kern w:val="0"/>
                <w:szCs w:val="21"/>
              </w:rPr>
            </w:pPr>
            <w:r>
              <w:rPr>
                <w:rFonts w:hint="eastAsia" w:ascii="宋体" w:hAnsi="宋体" w:cs="宋体"/>
                <w:b/>
                <w:bCs/>
                <w:kern w:val="0"/>
                <w:szCs w:val="21"/>
              </w:rPr>
              <w:t>一</w:t>
            </w:r>
          </w:p>
        </w:tc>
        <w:tc>
          <w:tcPr>
            <w:tcW w:w="705" w:type="dxa"/>
            <w:noWrap/>
            <w:vAlign w:val="center"/>
          </w:tcPr>
          <w:p>
            <w:pPr>
              <w:widowControl/>
              <w:jc w:val="center"/>
              <w:rPr>
                <w:rFonts w:ascii="宋体" w:cs="宋体"/>
                <w:b/>
                <w:bCs/>
                <w:kern w:val="0"/>
                <w:szCs w:val="21"/>
              </w:rPr>
            </w:pPr>
            <w:r>
              <w:rPr>
                <w:rFonts w:hint="eastAsia" w:ascii="宋体" w:hAnsi="宋体" w:cs="宋体"/>
                <w:b/>
                <w:bCs/>
                <w:kern w:val="0"/>
                <w:szCs w:val="21"/>
              </w:rPr>
              <w:t>二</w:t>
            </w:r>
          </w:p>
        </w:tc>
        <w:tc>
          <w:tcPr>
            <w:tcW w:w="720" w:type="dxa"/>
            <w:noWrap/>
            <w:vAlign w:val="center"/>
          </w:tcPr>
          <w:p>
            <w:pPr>
              <w:widowControl/>
              <w:jc w:val="center"/>
              <w:rPr>
                <w:rFonts w:ascii="宋体" w:cs="宋体"/>
                <w:b/>
                <w:bCs/>
                <w:kern w:val="0"/>
                <w:szCs w:val="21"/>
              </w:rPr>
            </w:pPr>
            <w:r>
              <w:rPr>
                <w:rFonts w:hint="eastAsia" w:ascii="宋体" w:hAnsi="宋体" w:cs="宋体"/>
                <w:b/>
                <w:bCs/>
                <w:kern w:val="0"/>
                <w:szCs w:val="21"/>
              </w:rPr>
              <w:t>三</w:t>
            </w:r>
          </w:p>
        </w:tc>
        <w:tc>
          <w:tcPr>
            <w:tcW w:w="765"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四</w:t>
            </w:r>
          </w:p>
        </w:tc>
        <w:tc>
          <w:tcPr>
            <w:tcW w:w="675"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五</w:t>
            </w:r>
          </w:p>
        </w:tc>
        <w:tc>
          <w:tcPr>
            <w:tcW w:w="825"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六</w:t>
            </w:r>
          </w:p>
        </w:tc>
        <w:tc>
          <w:tcPr>
            <w:tcW w:w="1200" w:type="dxa"/>
            <w:gridSpan w:val="2"/>
            <w:vMerge w:val="restart"/>
            <w:noWrap/>
            <w:vAlign w:val="center"/>
          </w:tcPr>
          <w:p>
            <w:pPr>
              <w:widowControl/>
              <w:jc w:val="center"/>
              <w:rPr>
                <w:rFonts w:ascii="宋体" w:cs="宋体"/>
                <w:b/>
                <w:kern w:val="0"/>
                <w:szCs w:val="21"/>
              </w:rPr>
            </w:pPr>
            <w:r>
              <w:rPr>
                <w:rFonts w:hint="eastAsia" w:ascii="宋体" w:hAnsi="宋体" w:cs="宋体"/>
                <w:b/>
                <w:kern w:val="0"/>
                <w:szCs w:val="21"/>
              </w:rPr>
              <w:t>方式</w:t>
            </w:r>
          </w:p>
        </w:tc>
        <w:tc>
          <w:tcPr>
            <w:tcW w:w="697" w:type="dxa"/>
            <w:vMerge w:val="restart"/>
            <w:noWrap/>
            <w:vAlign w:val="center"/>
          </w:tcPr>
          <w:p>
            <w:pPr>
              <w:widowControl/>
              <w:jc w:val="center"/>
              <w:rPr>
                <w:rFonts w:ascii="宋体" w:cs="宋体"/>
                <w:b/>
                <w:kern w:val="0"/>
                <w:szCs w:val="21"/>
              </w:rPr>
            </w:pPr>
            <w:r>
              <w:rPr>
                <w:rFonts w:hint="eastAsia" w:ascii="宋体" w:hAnsi="宋体" w:cs="宋体"/>
                <w:b/>
                <w:kern w:val="0"/>
                <w:szCs w:val="21"/>
              </w:rPr>
              <w:t>时间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b/>
                <w:bCs/>
                <w:kern w:val="0"/>
                <w:szCs w:val="21"/>
              </w:rPr>
            </w:pPr>
          </w:p>
        </w:tc>
        <w:tc>
          <w:tcPr>
            <w:tcW w:w="446" w:type="dxa"/>
            <w:vMerge w:val="continue"/>
            <w:vAlign w:val="center"/>
          </w:tcPr>
          <w:p>
            <w:pPr>
              <w:widowControl/>
              <w:jc w:val="center"/>
              <w:rPr>
                <w:rFonts w:ascii="宋体" w:cs="宋体"/>
                <w:b/>
                <w:bCs/>
                <w:kern w:val="0"/>
                <w:szCs w:val="21"/>
              </w:rPr>
            </w:pPr>
          </w:p>
        </w:tc>
        <w:tc>
          <w:tcPr>
            <w:tcW w:w="1763" w:type="dxa"/>
            <w:gridSpan w:val="2"/>
            <w:vMerge w:val="continue"/>
            <w:vAlign w:val="center"/>
          </w:tcPr>
          <w:p>
            <w:pPr>
              <w:widowControl/>
              <w:jc w:val="center"/>
              <w:rPr>
                <w:rFonts w:ascii="宋体" w:cs="宋体"/>
                <w:b/>
                <w:bCs/>
                <w:kern w:val="0"/>
                <w:szCs w:val="21"/>
              </w:rPr>
            </w:pPr>
          </w:p>
        </w:tc>
        <w:tc>
          <w:tcPr>
            <w:tcW w:w="570" w:type="dxa"/>
            <w:vMerge w:val="continue"/>
            <w:vAlign w:val="center"/>
          </w:tcPr>
          <w:p>
            <w:pPr>
              <w:widowControl/>
              <w:jc w:val="center"/>
              <w:rPr>
                <w:rFonts w:ascii="宋体" w:cs="宋体"/>
                <w:b/>
                <w:bCs/>
                <w:kern w:val="0"/>
                <w:szCs w:val="21"/>
              </w:rPr>
            </w:pPr>
          </w:p>
        </w:tc>
        <w:tc>
          <w:tcPr>
            <w:tcW w:w="668" w:type="dxa"/>
            <w:gridSpan w:val="3"/>
            <w:vMerge w:val="continue"/>
            <w:vAlign w:val="center"/>
          </w:tcPr>
          <w:p>
            <w:pPr>
              <w:widowControl/>
              <w:jc w:val="center"/>
              <w:rPr>
                <w:rFonts w:ascii="宋体" w:cs="宋体"/>
                <w:b/>
                <w:bCs/>
                <w:kern w:val="0"/>
                <w:szCs w:val="21"/>
              </w:rPr>
            </w:pPr>
          </w:p>
        </w:tc>
        <w:tc>
          <w:tcPr>
            <w:tcW w:w="645" w:type="dxa"/>
            <w:vMerge w:val="continue"/>
            <w:vAlign w:val="center"/>
          </w:tcPr>
          <w:p>
            <w:pPr>
              <w:widowControl/>
              <w:jc w:val="center"/>
              <w:rPr>
                <w:rFonts w:ascii="宋体" w:cs="宋体"/>
                <w:b/>
                <w:bCs/>
                <w:kern w:val="0"/>
                <w:szCs w:val="21"/>
              </w:rPr>
            </w:pPr>
          </w:p>
        </w:tc>
        <w:tc>
          <w:tcPr>
            <w:tcW w:w="840" w:type="dxa"/>
            <w:vMerge w:val="continue"/>
            <w:vAlign w:val="center"/>
          </w:tcPr>
          <w:p>
            <w:pPr>
              <w:widowControl/>
              <w:jc w:val="center"/>
              <w:rPr>
                <w:rFonts w:ascii="宋体" w:hAnsi="宋体" w:cs="宋体"/>
                <w:b/>
                <w:bCs/>
                <w:kern w:val="0"/>
                <w:szCs w:val="21"/>
              </w:rPr>
            </w:pPr>
          </w:p>
        </w:tc>
        <w:tc>
          <w:tcPr>
            <w:tcW w:w="720" w:type="dxa"/>
            <w:noWrap/>
            <w:vAlign w:val="center"/>
          </w:tcPr>
          <w:p>
            <w:pPr>
              <w:widowControl/>
              <w:jc w:val="center"/>
              <w:rPr>
                <w:rFonts w:ascii="宋体" w:cs="宋体"/>
                <w:b/>
                <w:bCs/>
                <w:kern w:val="0"/>
                <w:szCs w:val="21"/>
              </w:rPr>
            </w:pPr>
            <w:r>
              <w:rPr>
                <w:rFonts w:ascii="宋体" w:hAnsi="宋体" w:cs="宋体"/>
                <w:b/>
                <w:bCs/>
                <w:kern w:val="0"/>
                <w:szCs w:val="21"/>
              </w:rPr>
              <w:t>17</w:t>
            </w:r>
            <w:r>
              <w:rPr>
                <w:rFonts w:hint="eastAsia" w:ascii="宋体" w:hAnsi="宋体" w:cs="宋体"/>
                <w:b/>
                <w:bCs/>
                <w:kern w:val="0"/>
                <w:szCs w:val="21"/>
              </w:rPr>
              <w:t>周</w:t>
            </w:r>
          </w:p>
        </w:tc>
        <w:tc>
          <w:tcPr>
            <w:tcW w:w="705"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20" w:type="dxa"/>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765"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675"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825" w:type="dxa"/>
            <w:gridSpan w:val="2"/>
            <w:noWrap/>
            <w:vAlign w:val="center"/>
          </w:tcPr>
          <w:p>
            <w:pPr>
              <w:widowControl/>
              <w:jc w:val="center"/>
              <w:rPr>
                <w:rFonts w:ascii="宋体" w:cs="宋体"/>
                <w:b/>
                <w:bCs/>
                <w:kern w:val="0"/>
                <w:szCs w:val="21"/>
              </w:rPr>
            </w:pPr>
            <w:r>
              <w:rPr>
                <w:rFonts w:ascii="宋体" w:hAnsi="宋体" w:cs="宋体"/>
                <w:b/>
                <w:bCs/>
                <w:kern w:val="0"/>
                <w:szCs w:val="21"/>
              </w:rPr>
              <w:t>18</w:t>
            </w:r>
            <w:r>
              <w:rPr>
                <w:rFonts w:hint="eastAsia" w:ascii="宋体" w:hAnsi="宋体" w:cs="宋体"/>
                <w:b/>
                <w:bCs/>
                <w:kern w:val="0"/>
                <w:szCs w:val="21"/>
              </w:rPr>
              <w:t>周</w:t>
            </w:r>
          </w:p>
        </w:tc>
        <w:tc>
          <w:tcPr>
            <w:tcW w:w="1200" w:type="dxa"/>
            <w:gridSpan w:val="2"/>
            <w:vMerge w:val="continue"/>
            <w:vAlign w:val="center"/>
          </w:tcPr>
          <w:p>
            <w:pPr>
              <w:widowControl/>
              <w:jc w:val="center"/>
              <w:rPr>
                <w:rFonts w:ascii="宋体" w:cs="宋体"/>
                <w:b/>
                <w:kern w:val="0"/>
                <w:szCs w:val="21"/>
              </w:rPr>
            </w:pPr>
          </w:p>
        </w:tc>
        <w:tc>
          <w:tcPr>
            <w:tcW w:w="697" w:type="dxa"/>
            <w:vMerge w:val="continue"/>
            <w:vAlign w:val="center"/>
          </w:tcPr>
          <w:p>
            <w:pPr>
              <w:widowControl/>
              <w:jc w:val="center"/>
              <w:rPr>
                <w:rFonts w:ascii="宋体" w:cs="宋体"/>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259" w:hRule="atLeast"/>
        </w:trPr>
        <w:tc>
          <w:tcPr>
            <w:tcW w:w="852" w:type="dxa"/>
            <w:gridSpan w:val="2"/>
            <w:vMerge w:val="restart"/>
            <w:vAlign w:val="center"/>
          </w:tcPr>
          <w:p>
            <w:pPr>
              <w:widowControl/>
              <w:jc w:val="center"/>
              <w:rPr>
                <w:rFonts w:ascii="宋体" w:cs="宋体"/>
                <w:kern w:val="0"/>
                <w:szCs w:val="21"/>
              </w:rPr>
            </w:pPr>
            <w:r>
              <w:rPr>
                <w:rFonts w:hint="eastAsia" w:ascii="宋体" w:hAnsi="宋体" w:eastAsia="宋体" w:cs="宋体"/>
                <w:kern w:val="0"/>
                <w:szCs w:val="21"/>
              </w:rPr>
              <w:t>公共基础课</w:t>
            </w:r>
          </w:p>
        </w:tc>
        <w:tc>
          <w:tcPr>
            <w:tcW w:w="446" w:type="dxa"/>
            <w:noWrap/>
            <w:vAlign w:val="center"/>
          </w:tcPr>
          <w:p>
            <w:pPr>
              <w:jc w:val="center"/>
            </w:pPr>
            <w:r>
              <w:rPr>
                <w:rFonts w:hint="eastAsia"/>
              </w:rPr>
              <w:t>1</w:t>
            </w:r>
          </w:p>
        </w:tc>
        <w:tc>
          <w:tcPr>
            <w:tcW w:w="1763" w:type="dxa"/>
            <w:gridSpan w:val="2"/>
            <w:vAlign w:val="center"/>
          </w:tcPr>
          <w:p>
            <w:pPr>
              <w:jc w:val="center"/>
            </w:pPr>
            <w:r>
              <w:rPr>
                <w:rFonts w:hint="eastAsia"/>
              </w:rPr>
              <w:t>高职应用数学I</w:t>
            </w:r>
          </w:p>
        </w:tc>
        <w:tc>
          <w:tcPr>
            <w:tcW w:w="570" w:type="dxa"/>
            <w:noWrap/>
            <w:vAlign w:val="center"/>
          </w:tcPr>
          <w:p>
            <w:pPr>
              <w:jc w:val="center"/>
            </w:pPr>
            <w:r>
              <w:rPr>
                <w:rFonts w:hint="eastAsia"/>
              </w:rPr>
              <w:t>56</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56</w:t>
            </w:r>
          </w:p>
        </w:tc>
        <w:tc>
          <w:tcPr>
            <w:tcW w:w="840" w:type="dxa"/>
            <w:vAlign w:val="center"/>
          </w:tcPr>
          <w:p>
            <w:pPr>
              <w:jc w:val="center"/>
            </w:pPr>
            <w:r>
              <w:rPr>
                <w:rFonts w:hint="eastAsia"/>
              </w:rPr>
              <w:t>3.5</w:t>
            </w:r>
          </w:p>
        </w:tc>
        <w:tc>
          <w:tcPr>
            <w:tcW w:w="720" w:type="dxa"/>
            <w:noWrap/>
            <w:vAlign w:val="center"/>
          </w:tcPr>
          <w:p>
            <w:pPr>
              <w:jc w:val="center"/>
            </w:pPr>
            <w:r>
              <w:rPr>
                <w:rFonts w:hint="eastAsia"/>
              </w:rPr>
              <w:t>14*2</w:t>
            </w:r>
          </w:p>
        </w:tc>
        <w:tc>
          <w:tcPr>
            <w:tcW w:w="705" w:type="dxa"/>
            <w:noWrap/>
            <w:vAlign w:val="center"/>
          </w:tcPr>
          <w:p>
            <w:pPr>
              <w:jc w:val="center"/>
            </w:pPr>
            <w:r>
              <w:rPr>
                <w:rFonts w:hint="eastAsia"/>
              </w:rPr>
              <w:t>14*2</w:t>
            </w: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笔试</w:t>
            </w:r>
          </w:p>
        </w:tc>
        <w:tc>
          <w:tcPr>
            <w:tcW w:w="697" w:type="dxa"/>
            <w:noWrap/>
            <w:vAlign w:val="center"/>
          </w:tcPr>
          <w:p>
            <w:pPr>
              <w:jc w:val="cente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9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2</w:t>
            </w:r>
          </w:p>
        </w:tc>
        <w:tc>
          <w:tcPr>
            <w:tcW w:w="1763" w:type="dxa"/>
            <w:gridSpan w:val="2"/>
            <w:vAlign w:val="center"/>
          </w:tcPr>
          <w:p>
            <w:pPr>
              <w:jc w:val="center"/>
            </w:pPr>
            <w:r>
              <w:rPr>
                <w:rFonts w:hint="eastAsia"/>
              </w:rPr>
              <w:t>高职实用英语I</w:t>
            </w:r>
          </w:p>
        </w:tc>
        <w:tc>
          <w:tcPr>
            <w:tcW w:w="570" w:type="dxa"/>
            <w:noWrap/>
            <w:vAlign w:val="center"/>
          </w:tcPr>
          <w:p>
            <w:pPr>
              <w:jc w:val="center"/>
            </w:pPr>
            <w:r>
              <w:rPr>
                <w:rFonts w:hint="eastAsia"/>
              </w:rPr>
              <w:t>56</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56</w:t>
            </w:r>
          </w:p>
        </w:tc>
        <w:tc>
          <w:tcPr>
            <w:tcW w:w="840" w:type="dxa"/>
            <w:vAlign w:val="center"/>
          </w:tcPr>
          <w:p>
            <w:pPr>
              <w:jc w:val="center"/>
            </w:pPr>
            <w:r>
              <w:rPr>
                <w:rFonts w:hint="eastAsia"/>
              </w:rPr>
              <w:t>3.5</w:t>
            </w:r>
          </w:p>
        </w:tc>
        <w:tc>
          <w:tcPr>
            <w:tcW w:w="720" w:type="dxa"/>
            <w:noWrap/>
            <w:vAlign w:val="center"/>
          </w:tcPr>
          <w:p>
            <w:pPr>
              <w:jc w:val="center"/>
            </w:pPr>
            <w:r>
              <w:rPr>
                <w:rFonts w:hint="eastAsia"/>
              </w:rPr>
              <w:t>14*2</w:t>
            </w:r>
          </w:p>
        </w:tc>
        <w:tc>
          <w:tcPr>
            <w:tcW w:w="705" w:type="dxa"/>
            <w:noWrap/>
            <w:vAlign w:val="center"/>
          </w:tcPr>
          <w:p>
            <w:pPr>
              <w:jc w:val="center"/>
            </w:pPr>
            <w:r>
              <w:rPr>
                <w:rFonts w:hint="eastAsia"/>
              </w:rPr>
              <w:t>14*2</w:t>
            </w: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笔试/项目测试</w:t>
            </w:r>
          </w:p>
        </w:tc>
        <w:tc>
          <w:tcPr>
            <w:tcW w:w="697" w:type="dxa"/>
            <w:noWrap/>
            <w:vAlign w:val="center"/>
          </w:tcPr>
          <w:p>
            <w:pPr>
              <w:jc w:val="cente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37"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3</w:t>
            </w:r>
          </w:p>
        </w:tc>
        <w:tc>
          <w:tcPr>
            <w:tcW w:w="1763" w:type="dxa"/>
            <w:gridSpan w:val="2"/>
            <w:vAlign w:val="center"/>
          </w:tcPr>
          <w:p>
            <w:pPr>
              <w:jc w:val="center"/>
            </w:pPr>
            <w:r>
              <w:rPr>
                <w:rFonts w:hint="eastAsia"/>
              </w:rPr>
              <w:t>计算机应用基础（非）</w:t>
            </w:r>
          </w:p>
        </w:tc>
        <w:tc>
          <w:tcPr>
            <w:tcW w:w="570" w:type="dxa"/>
            <w:noWrap/>
            <w:vAlign w:val="center"/>
          </w:tcPr>
          <w:p>
            <w:pPr>
              <w:jc w:val="center"/>
            </w:pPr>
            <w:r>
              <w:rPr>
                <w:rFonts w:hint="eastAsia"/>
              </w:rPr>
              <w:t>28</w:t>
            </w:r>
          </w:p>
        </w:tc>
        <w:tc>
          <w:tcPr>
            <w:tcW w:w="668" w:type="dxa"/>
            <w:gridSpan w:val="3"/>
            <w:noWrap/>
            <w:vAlign w:val="center"/>
          </w:tcPr>
          <w:p>
            <w:pPr>
              <w:jc w:val="center"/>
            </w:pPr>
            <w:r>
              <w:rPr>
                <w:rFonts w:hint="eastAsia"/>
              </w:rPr>
              <w:t>14</w:t>
            </w:r>
          </w:p>
        </w:tc>
        <w:tc>
          <w:tcPr>
            <w:tcW w:w="645" w:type="dxa"/>
            <w:noWrap/>
            <w:vAlign w:val="center"/>
          </w:tcPr>
          <w:p>
            <w:pPr>
              <w:jc w:val="center"/>
            </w:pPr>
            <w:r>
              <w:rPr>
                <w:rFonts w:hint="eastAsia"/>
              </w:rPr>
              <w:t>42</w:t>
            </w:r>
          </w:p>
        </w:tc>
        <w:tc>
          <w:tcPr>
            <w:tcW w:w="840" w:type="dxa"/>
            <w:vAlign w:val="center"/>
          </w:tcPr>
          <w:p>
            <w:pPr>
              <w:jc w:val="center"/>
            </w:pPr>
            <w:r>
              <w:rPr>
                <w:rFonts w:hint="eastAsia"/>
              </w:rPr>
              <w:t>2.5</w:t>
            </w:r>
          </w:p>
        </w:tc>
        <w:tc>
          <w:tcPr>
            <w:tcW w:w="720" w:type="dxa"/>
            <w:noWrap/>
            <w:vAlign w:val="center"/>
          </w:tcPr>
          <w:p>
            <w:pPr>
              <w:jc w:val="center"/>
            </w:pPr>
            <w:r>
              <w:rPr>
                <w:rFonts w:hint="eastAsia"/>
              </w:rPr>
              <w:t>14*3</w:t>
            </w:r>
          </w:p>
        </w:tc>
        <w:tc>
          <w:tcPr>
            <w:tcW w:w="705" w:type="dxa"/>
            <w:noWrap/>
            <w:vAlign w:val="center"/>
          </w:tcPr>
          <w:p>
            <w:pPr>
              <w:jc w:val="center"/>
            </w:pP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考证</w:t>
            </w:r>
          </w:p>
        </w:tc>
        <w:tc>
          <w:tcPr>
            <w:tcW w:w="697" w:type="dxa"/>
            <w:noWrap/>
            <w:vAlign w:val="center"/>
          </w:tcPr>
          <w:p>
            <w:pPr>
              <w:jc w:val="center"/>
            </w:pPr>
            <w:r>
              <w:rPr>
                <w:rFonts w:hint="eastAsia"/>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645"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4</w:t>
            </w:r>
          </w:p>
        </w:tc>
        <w:tc>
          <w:tcPr>
            <w:tcW w:w="1763" w:type="dxa"/>
            <w:gridSpan w:val="2"/>
            <w:vAlign w:val="center"/>
          </w:tcPr>
          <w:p>
            <w:pPr>
              <w:jc w:val="center"/>
            </w:pPr>
            <w:r>
              <w:rPr>
                <w:rFonts w:hint="eastAsia"/>
              </w:rPr>
              <w:t>思想道德与法治</w:t>
            </w:r>
          </w:p>
        </w:tc>
        <w:tc>
          <w:tcPr>
            <w:tcW w:w="570" w:type="dxa"/>
            <w:noWrap/>
            <w:vAlign w:val="center"/>
          </w:tcPr>
          <w:p>
            <w:pPr>
              <w:jc w:val="center"/>
            </w:pPr>
            <w:r>
              <w:rPr>
                <w:rFonts w:hint="eastAsia"/>
              </w:rPr>
              <w:t>48</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48</w:t>
            </w:r>
          </w:p>
        </w:tc>
        <w:tc>
          <w:tcPr>
            <w:tcW w:w="840" w:type="dxa"/>
            <w:vAlign w:val="center"/>
          </w:tcPr>
          <w:p>
            <w:pPr>
              <w:jc w:val="center"/>
            </w:pPr>
            <w:r>
              <w:rPr>
                <w:rFonts w:hint="eastAsia"/>
              </w:rPr>
              <w:t>3</w:t>
            </w:r>
          </w:p>
        </w:tc>
        <w:tc>
          <w:tcPr>
            <w:tcW w:w="720" w:type="dxa"/>
            <w:noWrap/>
            <w:vAlign w:val="center"/>
          </w:tcPr>
          <w:p>
            <w:pPr>
              <w:jc w:val="center"/>
            </w:pPr>
            <w:r>
              <w:rPr>
                <w:rFonts w:hint="eastAsia"/>
              </w:rPr>
              <w:t>12*4</w:t>
            </w:r>
          </w:p>
        </w:tc>
        <w:tc>
          <w:tcPr>
            <w:tcW w:w="705" w:type="dxa"/>
            <w:noWrap/>
            <w:vAlign w:val="center"/>
          </w:tcPr>
          <w:p>
            <w:pPr>
              <w:jc w:val="center"/>
            </w:pP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实践+笔试</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5</w:t>
            </w:r>
          </w:p>
        </w:tc>
        <w:tc>
          <w:tcPr>
            <w:tcW w:w="1763" w:type="dxa"/>
            <w:gridSpan w:val="2"/>
            <w:vAlign w:val="center"/>
          </w:tcPr>
          <w:p>
            <w:pPr>
              <w:jc w:val="center"/>
            </w:pPr>
            <w:r>
              <w:rPr>
                <w:rFonts w:hint="eastAsia"/>
              </w:rPr>
              <w:t>毛泽东思想和中国特色社会主义理论体系概论</w:t>
            </w:r>
          </w:p>
        </w:tc>
        <w:tc>
          <w:tcPr>
            <w:tcW w:w="570" w:type="dxa"/>
            <w:noWrap/>
            <w:vAlign w:val="center"/>
          </w:tcPr>
          <w:p>
            <w:pPr>
              <w:jc w:val="center"/>
            </w:pPr>
            <w:r>
              <w:rPr>
                <w:rFonts w:hint="eastAsia"/>
              </w:rPr>
              <w:t>56</w:t>
            </w:r>
          </w:p>
        </w:tc>
        <w:tc>
          <w:tcPr>
            <w:tcW w:w="668" w:type="dxa"/>
            <w:gridSpan w:val="3"/>
            <w:noWrap/>
            <w:vAlign w:val="center"/>
          </w:tcPr>
          <w:p>
            <w:pPr>
              <w:jc w:val="center"/>
            </w:pPr>
            <w:r>
              <w:rPr>
                <w:rFonts w:hint="eastAsia"/>
              </w:rPr>
              <w:t>8</w:t>
            </w:r>
          </w:p>
        </w:tc>
        <w:tc>
          <w:tcPr>
            <w:tcW w:w="645" w:type="dxa"/>
            <w:noWrap/>
            <w:vAlign w:val="center"/>
          </w:tcPr>
          <w:p>
            <w:pPr>
              <w:jc w:val="center"/>
            </w:pPr>
            <w:r>
              <w:rPr>
                <w:rFonts w:hint="eastAsia"/>
              </w:rPr>
              <w:t>64</w:t>
            </w:r>
          </w:p>
        </w:tc>
        <w:tc>
          <w:tcPr>
            <w:tcW w:w="840" w:type="dxa"/>
            <w:vAlign w:val="center"/>
          </w:tcPr>
          <w:p>
            <w:pPr>
              <w:jc w:val="center"/>
            </w:pPr>
            <w:r>
              <w:rPr>
                <w:rFonts w:hint="eastAsia"/>
              </w:rPr>
              <w:t>4</w:t>
            </w:r>
          </w:p>
        </w:tc>
        <w:tc>
          <w:tcPr>
            <w:tcW w:w="720" w:type="dxa"/>
            <w:noWrap/>
            <w:vAlign w:val="center"/>
          </w:tcPr>
          <w:p>
            <w:pPr>
              <w:jc w:val="center"/>
            </w:pPr>
          </w:p>
        </w:tc>
        <w:tc>
          <w:tcPr>
            <w:tcW w:w="705" w:type="dxa"/>
            <w:noWrap/>
            <w:vAlign w:val="center"/>
          </w:tcPr>
          <w:p>
            <w:pPr>
              <w:jc w:val="center"/>
            </w:pPr>
            <w:r>
              <w:rPr>
                <w:rFonts w:hint="eastAsia"/>
              </w:rPr>
              <w:t>14*4+8</w:t>
            </w: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实践+笔试</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6</w:t>
            </w:r>
          </w:p>
        </w:tc>
        <w:tc>
          <w:tcPr>
            <w:tcW w:w="1763" w:type="dxa"/>
            <w:gridSpan w:val="2"/>
            <w:vAlign w:val="center"/>
          </w:tcPr>
          <w:p>
            <w:pPr>
              <w:jc w:val="center"/>
            </w:pPr>
            <w:r>
              <w:rPr>
                <w:rFonts w:hint="eastAsia"/>
              </w:rPr>
              <w:t>体育</w:t>
            </w:r>
          </w:p>
        </w:tc>
        <w:tc>
          <w:tcPr>
            <w:tcW w:w="570" w:type="dxa"/>
            <w:noWrap/>
            <w:vAlign w:val="center"/>
          </w:tcPr>
          <w:p>
            <w:pPr>
              <w:jc w:val="center"/>
            </w:pPr>
            <w:r>
              <w:rPr>
                <w:rFonts w:hint="eastAsia"/>
              </w:rPr>
              <w:t>12</w:t>
            </w:r>
          </w:p>
        </w:tc>
        <w:tc>
          <w:tcPr>
            <w:tcW w:w="668" w:type="dxa"/>
            <w:gridSpan w:val="3"/>
            <w:noWrap/>
            <w:vAlign w:val="center"/>
          </w:tcPr>
          <w:p>
            <w:pPr>
              <w:jc w:val="center"/>
            </w:pPr>
            <w:r>
              <w:rPr>
                <w:rFonts w:hint="eastAsia"/>
              </w:rPr>
              <w:t>96</w:t>
            </w:r>
          </w:p>
        </w:tc>
        <w:tc>
          <w:tcPr>
            <w:tcW w:w="645" w:type="dxa"/>
            <w:noWrap/>
            <w:vAlign w:val="center"/>
          </w:tcPr>
          <w:p>
            <w:pPr>
              <w:jc w:val="center"/>
            </w:pPr>
            <w:r>
              <w:rPr>
                <w:rFonts w:hint="eastAsia"/>
              </w:rPr>
              <w:t>108</w:t>
            </w:r>
          </w:p>
        </w:tc>
        <w:tc>
          <w:tcPr>
            <w:tcW w:w="840" w:type="dxa"/>
            <w:vAlign w:val="center"/>
          </w:tcPr>
          <w:p>
            <w:pPr>
              <w:jc w:val="center"/>
            </w:pPr>
            <w:r>
              <w:rPr>
                <w:rFonts w:hint="eastAsia"/>
              </w:rPr>
              <w:t>5</w:t>
            </w:r>
          </w:p>
        </w:tc>
        <w:tc>
          <w:tcPr>
            <w:tcW w:w="720" w:type="dxa"/>
            <w:noWrap/>
            <w:vAlign w:val="center"/>
          </w:tcPr>
          <w:p>
            <w:pPr>
              <w:jc w:val="center"/>
            </w:pPr>
            <w:r>
              <w:rPr>
                <w:rFonts w:hint="eastAsia"/>
              </w:rPr>
              <w:t>14*2</w:t>
            </w:r>
          </w:p>
        </w:tc>
        <w:tc>
          <w:tcPr>
            <w:tcW w:w="705" w:type="dxa"/>
            <w:noWrap/>
            <w:vAlign w:val="center"/>
          </w:tcPr>
          <w:p>
            <w:pPr>
              <w:jc w:val="center"/>
            </w:pPr>
            <w:r>
              <w:rPr>
                <w:rFonts w:hint="eastAsia"/>
              </w:rPr>
              <w:t>14*2</w:t>
            </w:r>
          </w:p>
        </w:tc>
        <w:tc>
          <w:tcPr>
            <w:tcW w:w="720" w:type="dxa"/>
            <w:noWrap/>
            <w:vAlign w:val="center"/>
          </w:tcPr>
          <w:p>
            <w:pPr>
              <w:jc w:val="center"/>
            </w:pPr>
            <w:r>
              <w:rPr>
                <w:rFonts w:hint="eastAsia"/>
              </w:rPr>
              <w:t>18*1</w:t>
            </w:r>
          </w:p>
        </w:tc>
        <w:tc>
          <w:tcPr>
            <w:tcW w:w="765" w:type="dxa"/>
            <w:gridSpan w:val="2"/>
            <w:noWrap/>
            <w:vAlign w:val="center"/>
          </w:tcPr>
          <w:p>
            <w:pPr>
              <w:jc w:val="center"/>
            </w:pPr>
            <w:r>
              <w:rPr>
                <w:rFonts w:hint="eastAsia"/>
              </w:rPr>
              <w:t>18*1</w:t>
            </w:r>
          </w:p>
        </w:tc>
        <w:tc>
          <w:tcPr>
            <w:tcW w:w="675" w:type="dxa"/>
            <w:gridSpan w:val="2"/>
            <w:noWrap/>
            <w:vAlign w:val="center"/>
          </w:tcPr>
          <w:p>
            <w:pPr>
              <w:jc w:val="center"/>
            </w:pPr>
            <w:r>
              <w:rPr>
                <w:rFonts w:hint="eastAsia"/>
              </w:rPr>
              <w:t>8*2</w:t>
            </w:r>
          </w:p>
        </w:tc>
        <w:tc>
          <w:tcPr>
            <w:tcW w:w="825" w:type="dxa"/>
            <w:gridSpan w:val="2"/>
            <w:noWrap/>
            <w:vAlign w:val="center"/>
          </w:tcPr>
          <w:p>
            <w:pPr>
              <w:jc w:val="center"/>
            </w:pPr>
          </w:p>
        </w:tc>
        <w:tc>
          <w:tcPr>
            <w:tcW w:w="1200" w:type="dxa"/>
            <w:gridSpan w:val="2"/>
            <w:noWrap/>
            <w:vAlign w:val="center"/>
          </w:tcPr>
          <w:p>
            <w:pPr>
              <w:jc w:val="center"/>
            </w:pPr>
            <w:r>
              <w:rPr>
                <w:rFonts w:hint="eastAsia"/>
              </w:rPr>
              <w:t>实践+项目测试</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7</w:t>
            </w:r>
          </w:p>
        </w:tc>
        <w:tc>
          <w:tcPr>
            <w:tcW w:w="1763" w:type="dxa"/>
            <w:gridSpan w:val="2"/>
            <w:vAlign w:val="center"/>
          </w:tcPr>
          <w:p>
            <w:pPr>
              <w:jc w:val="center"/>
            </w:pPr>
            <w:r>
              <w:rPr>
                <w:rFonts w:hint="eastAsia"/>
              </w:rPr>
              <w:t>创新创业基础</w:t>
            </w:r>
          </w:p>
        </w:tc>
        <w:tc>
          <w:tcPr>
            <w:tcW w:w="570" w:type="dxa"/>
            <w:noWrap/>
            <w:vAlign w:val="center"/>
          </w:tcPr>
          <w:p>
            <w:pPr>
              <w:jc w:val="center"/>
            </w:pPr>
            <w:r>
              <w:rPr>
                <w:rFonts w:hint="eastAsia"/>
              </w:rPr>
              <w:t>48</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48</w:t>
            </w:r>
          </w:p>
        </w:tc>
        <w:tc>
          <w:tcPr>
            <w:tcW w:w="840" w:type="dxa"/>
            <w:vAlign w:val="center"/>
          </w:tcPr>
          <w:p>
            <w:pPr>
              <w:jc w:val="center"/>
            </w:pPr>
            <w:r>
              <w:rPr>
                <w:rFonts w:hint="eastAsia"/>
              </w:rPr>
              <w:t>3</w:t>
            </w:r>
          </w:p>
        </w:tc>
        <w:tc>
          <w:tcPr>
            <w:tcW w:w="720" w:type="dxa"/>
            <w:noWrap/>
            <w:vAlign w:val="center"/>
          </w:tcPr>
          <w:p>
            <w:pPr>
              <w:jc w:val="center"/>
            </w:pPr>
            <w:r>
              <w:rPr>
                <w:rFonts w:hint="eastAsia"/>
              </w:rPr>
              <w:t>10*2</w:t>
            </w:r>
          </w:p>
        </w:tc>
        <w:tc>
          <w:tcPr>
            <w:tcW w:w="705" w:type="dxa"/>
            <w:noWrap/>
            <w:vAlign w:val="center"/>
          </w:tcPr>
          <w:p>
            <w:pPr>
              <w:jc w:val="center"/>
            </w:pPr>
            <w:r>
              <w:rPr>
                <w:rFonts w:hint="eastAsia"/>
              </w:rPr>
              <w:t>14*2</w:t>
            </w: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实践</w:t>
            </w:r>
          </w:p>
        </w:tc>
        <w:tc>
          <w:tcPr>
            <w:tcW w:w="697" w:type="dxa"/>
            <w:noWrap/>
            <w:vAlign w:val="center"/>
          </w:tcPr>
          <w:p>
            <w:pPr>
              <w:jc w:val="center"/>
            </w:pPr>
            <w:r>
              <w:rPr>
                <w:rFonts w:hint="eastAsia"/>
              </w:rPr>
              <w:t>分阶段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15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8</w:t>
            </w:r>
          </w:p>
        </w:tc>
        <w:tc>
          <w:tcPr>
            <w:tcW w:w="1763" w:type="dxa"/>
            <w:gridSpan w:val="2"/>
            <w:vAlign w:val="center"/>
          </w:tcPr>
          <w:p>
            <w:pPr>
              <w:jc w:val="center"/>
            </w:pPr>
            <w:r>
              <w:rPr>
                <w:rFonts w:hint="eastAsia"/>
              </w:rPr>
              <w:t>心理健康</w:t>
            </w:r>
          </w:p>
        </w:tc>
        <w:tc>
          <w:tcPr>
            <w:tcW w:w="570" w:type="dxa"/>
            <w:noWrap/>
            <w:vAlign w:val="center"/>
          </w:tcPr>
          <w:p>
            <w:pPr>
              <w:jc w:val="center"/>
            </w:pPr>
            <w:r>
              <w:rPr>
                <w:rFonts w:hint="eastAsia"/>
              </w:rPr>
              <w:t>16</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16</w:t>
            </w:r>
          </w:p>
        </w:tc>
        <w:tc>
          <w:tcPr>
            <w:tcW w:w="840" w:type="dxa"/>
            <w:vAlign w:val="center"/>
          </w:tcPr>
          <w:p>
            <w:pPr>
              <w:jc w:val="center"/>
            </w:pPr>
            <w:r>
              <w:rPr>
                <w:rFonts w:hint="eastAsia"/>
              </w:rPr>
              <w:t>1</w:t>
            </w:r>
          </w:p>
        </w:tc>
        <w:tc>
          <w:tcPr>
            <w:tcW w:w="720" w:type="dxa"/>
            <w:noWrap/>
            <w:vAlign w:val="center"/>
          </w:tcPr>
          <w:p>
            <w:pPr>
              <w:jc w:val="center"/>
            </w:pPr>
          </w:p>
        </w:tc>
        <w:tc>
          <w:tcPr>
            <w:tcW w:w="705" w:type="dxa"/>
            <w:noWrap/>
            <w:vAlign w:val="center"/>
          </w:tcPr>
          <w:p>
            <w:pPr>
              <w:jc w:val="center"/>
            </w:pPr>
            <w:r>
              <w:rPr>
                <w:rFonts w:hint="eastAsia"/>
              </w:rPr>
              <w:t>8*2</w:t>
            </w: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笔试</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9</w:t>
            </w:r>
          </w:p>
        </w:tc>
        <w:tc>
          <w:tcPr>
            <w:tcW w:w="1763" w:type="dxa"/>
            <w:gridSpan w:val="2"/>
            <w:vAlign w:val="center"/>
          </w:tcPr>
          <w:p>
            <w:pPr>
              <w:jc w:val="center"/>
            </w:pPr>
            <w:r>
              <w:rPr>
                <w:rFonts w:hint="eastAsia"/>
              </w:rPr>
              <w:t>大学生职业发展与就业指导</w:t>
            </w:r>
          </w:p>
        </w:tc>
        <w:tc>
          <w:tcPr>
            <w:tcW w:w="570" w:type="dxa"/>
            <w:noWrap/>
            <w:vAlign w:val="center"/>
          </w:tcPr>
          <w:p>
            <w:pPr>
              <w:jc w:val="center"/>
            </w:pPr>
            <w:r>
              <w:rPr>
                <w:rFonts w:hint="eastAsia"/>
              </w:rPr>
              <w:t>21</w:t>
            </w:r>
          </w:p>
        </w:tc>
        <w:tc>
          <w:tcPr>
            <w:tcW w:w="668" w:type="dxa"/>
            <w:gridSpan w:val="3"/>
            <w:noWrap/>
            <w:vAlign w:val="center"/>
          </w:tcPr>
          <w:p>
            <w:pPr>
              <w:jc w:val="center"/>
            </w:pPr>
            <w:r>
              <w:rPr>
                <w:rFonts w:hint="eastAsia"/>
              </w:rPr>
              <w:t>15</w:t>
            </w:r>
          </w:p>
        </w:tc>
        <w:tc>
          <w:tcPr>
            <w:tcW w:w="645" w:type="dxa"/>
            <w:noWrap/>
            <w:vAlign w:val="center"/>
          </w:tcPr>
          <w:p>
            <w:pPr>
              <w:jc w:val="center"/>
            </w:pPr>
            <w:r>
              <w:rPr>
                <w:rFonts w:hint="eastAsia"/>
              </w:rPr>
              <w:t>36</w:t>
            </w:r>
          </w:p>
        </w:tc>
        <w:tc>
          <w:tcPr>
            <w:tcW w:w="840" w:type="dxa"/>
            <w:vAlign w:val="center"/>
          </w:tcPr>
          <w:p>
            <w:pPr>
              <w:jc w:val="center"/>
            </w:pPr>
            <w:r>
              <w:rPr>
                <w:rFonts w:hint="eastAsia"/>
              </w:rPr>
              <w:t>2</w:t>
            </w:r>
          </w:p>
        </w:tc>
        <w:tc>
          <w:tcPr>
            <w:tcW w:w="720" w:type="dxa"/>
            <w:noWrap/>
            <w:vAlign w:val="center"/>
          </w:tcPr>
          <w:p>
            <w:pPr>
              <w:jc w:val="center"/>
            </w:pPr>
          </w:p>
        </w:tc>
        <w:tc>
          <w:tcPr>
            <w:tcW w:w="705" w:type="dxa"/>
            <w:noWrap/>
            <w:vAlign w:val="center"/>
          </w:tcPr>
          <w:p>
            <w:pPr>
              <w:jc w:val="center"/>
            </w:pPr>
          </w:p>
        </w:tc>
        <w:tc>
          <w:tcPr>
            <w:tcW w:w="720" w:type="dxa"/>
            <w:noWrap/>
            <w:vAlign w:val="center"/>
          </w:tcPr>
          <w:p>
            <w:pPr>
              <w:jc w:val="center"/>
            </w:pPr>
            <w:r>
              <w:rPr>
                <w:rFonts w:hint="eastAsia"/>
              </w:rPr>
              <w:t>15</w:t>
            </w:r>
          </w:p>
        </w:tc>
        <w:tc>
          <w:tcPr>
            <w:tcW w:w="765" w:type="dxa"/>
            <w:gridSpan w:val="2"/>
            <w:noWrap/>
            <w:vAlign w:val="center"/>
          </w:tcPr>
          <w:p>
            <w:pPr>
              <w:jc w:val="center"/>
            </w:pPr>
            <w:r>
              <w:rPr>
                <w:rFonts w:hint="eastAsia"/>
              </w:rPr>
              <w:t>21</w:t>
            </w: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笔试</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10</w:t>
            </w:r>
          </w:p>
        </w:tc>
        <w:tc>
          <w:tcPr>
            <w:tcW w:w="1763" w:type="dxa"/>
            <w:gridSpan w:val="2"/>
            <w:vAlign w:val="center"/>
          </w:tcPr>
          <w:p>
            <w:pPr>
              <w:jc w:val="center"/>
            </w:pPr>
            <w:r>
              <w:rPr>
                <w:rFonts w:hint="eastAsia"/>
              </w:rPr>
              <w:t>形势与政策</w:t>
            </w:r>
          </w:p>
        </w:tc>
        <w:tc>
          <w:tcPr>
            <w:tcW w:w="570" w:type="dxa"/>
            <w:noWrap/>
            <w:vAlign w:val="center"/>
          </w:tcPr>
          <w:p>
            <w:pPr>
              <w:jc w:val="center"/>
            </w:pPr>
            <w:r>
              <w:rPr>
                <w:rFonts w:hint="eastAsia"/>
              </w:rPr>
              <w:t>16</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16</w:t>
            </w:r>
          </w:p>
        </w:tc>
        <w:tc>
          <w:tcPr>
            <w:tcW w:w="840" w:type="dxa"/>
            <w:vAlign w:val="center"/>
          </w:tcPr>
          <w:p>
            <w:pPr>
              <w:jc w:val="center"/>
            </w:pPr>
            <w:r>
              <w:rPr>
                <w:rFonts w:hint="eastAsia"/>
              </w:rPr>
              <w:t>1</w:t>
            </w:r>
          </w:p>
        </w:tc>
        <w:tc>
          <w:tcPr>
            <w:tcW w:w="720" w:type="dxa"/>
            <w:noWrap/>
            <w:vAlign w:val="center"/>
          </w:tcPr>
          <w:p>
            <w:pPr>
              <w:jc w:val="center"/>
            </w:pPr>
          </w:p>
        </w:tc>
        <w:tc>
          <w:tcPr>
            <w:tcW w:w="705" w:type="dxa"/>
            <w:noWrap/>
            <w:vAlign w:val="center"/>
          </w:tcPr>
          <w:p>
            <w:pPr>
              <w:jc w:val="center"/>
            </w:pPr>
          </w:p>
        </w:tc>
        <w:tc>
          <w:tcPr>
            <w:tcW w:w="720" w:type="dxa"/>
            <w:noWrap/>
            <w:vAlign w:val="center"/>
          </w:tcPr>
          <w:p>
            <w:pPr>
              <w:jc w:val="center"/>
            </w:pPr>
            <w:r>
              <w:rPr>
                <w:rFonts w:hint="eastAsia"/>
              </w:rPr>
              <w:t>4*2</w:t>
            </w:r>
          </w:p>
        </w:tc>
        <w:tc>
          <w:tcPr>
            <w:tcW w:w="765" w:type="dxa"/>
            <w:gridSpan w:val="2"/>
            <w:noWrap/>
            <w:vAlign w:val="center"/>
          </w:tcPr>
          <w:p>
            <w:pPr>
              <w:jc w:val="center"/>
            </w:pPr>
            <w:r>
              <w:rPr>
                <w:rFonts w:hint="eastAsia"/>
              </w:rPr>
              <w:t>4*2</w:t>
            </w: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项目测试</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11</w:t>
            </w:r>
          </w:p>
        </w:tc>
        <w:tc>
          <w:tcPr>
            <w:tcW w:w="1763" w:type="dxa"/>
            <w:gridSpan w:val="2"/>
            <w:vAlign w:val="center"/>
          </w:tcPr>
          <w:p>
            <w:pPr>
              <w:jc w:val="center"/>
            </w:pPr>
            <w:r>
              <w:rPr>
                <w:rFonts w:hint="eastAsia"/>
              </w:rPr>
              <w:t>军事理论</w:t>
            </w:r>
          </w:p>
        </w:tc>
        <w:tc>
          <w:tcPr>
            <w:tcW w:w="570" w:type="dxa"/>
            <w:noWrap/>
            <w:vAlign w:val="center"/>
          </w:tcPr>
          <w:p>
            <w:pPr>
              <w:jc w:val="center"/>
            </w:pPr>
            <w:r>
              <w:rPr>
                <w:rFonts w:hint="eastAsia"/>
              </w:rPr>
              <w:t>32</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32</w:t>
            </w:r>
          </w:p>
        </w:tc>
        <w:tc>
          <w:tcPr>
            <w:tcW w:w="840" w:type="dxa"/>
            <w:vAlign w:val="center"/>
          </w:tcPr>
          <w:p>
            <w:pPr>
              <w:jc w:val="center"/>
            </w:pPr>
            <w:r>
              <w:rPr>
                <w:rFonts w:hint="eastAsia"/>
              </w:rPr>
              <w:t>2</w:t>
            </w:r>
          </w:p>
        </w:tc>
        <w:tc>
          <w:tcPr>
            <w:tcW w:w="720" w:type="dxa"/>
            <w:noWrap/>
            <w:vAlign w:val="center"/>
          </w:tcPr>
          <w:p>
            <w:pPr>
              <w:jc w:val="center"/>
            </w:pPr>
            <w:r>
              <w:rPr>
                <w:rFonts w:hint="eastAsia"/>
              </w:rPr>
              <w:t>32</w:t>
            </w:r>
          </w:p>
        </w:tc>
        <w:tc>
          <w:tcPr>
            <w:tcW w:w="705" w:type="dxa"/>
            <w:noWrap/>
            <w:vAlign w:val="center"/>
          </w:tcPr>
          <w:p>
            <w:pPr>
              <w:jc w:val="center"/>
            </w:pP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网络</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12</w:t>
            </w:r>
          </w:p>
        </w:tc>
        <w:tc>
          <w:tcPr>
            <w:tcW w:w="1763" w:type="dxa"/>
            <w:gridSpan w:val="2"/>
            <w:vAlign w:val="center"/>
          </w:tcPr>
          <w:p>
            <w:pPr>
              <w:jc w:val="center"/>
            </w:pPr>
            <w:r>
              <w:rPr>
                <w:rFonts w:hint="eastAsia"/>
              </w:rPr>
              <w:t>优秀传统文化</w:t>
            </w:r>
          </w:p>
        </w:tc>
        <w:tc>
          <w:tcPr>
            <w:tcW w:w="570" w:type="dxa"/>
            <w:noWrap/>
            <w:vAlign w:val="center"/>
          </w:tcPr>
          <w:p>
            <w:pPr>
              <w:jc w:val="center"/>
            </w:pPr>
            <w:r>
              <w:rPr>
                <w:rFonts w:hint="eastAsia"/>
              </w:rPr>
              <w:t>32</w:t>
            </w:r>
          </w:p>
        </w:tc>
        <w:tc>
          <w:tcPr>
            <w:tcW w:w="668" w:type="dxa"/>
            <w:gridSpan w:val="3"/>
            <w:noWrap/>
            <w:vAlign w:val="center"/>
          </w:tcPr>
          <w:p>
            <w:pPr>
              <w:jc w:val="center"/>
            </w:pPr>
            <w:r>
              <w:rPr>
                <w:rFonts w:hint="eastAsia"/>
              </w:rPr>
              <w:t>0</w:t>
            </w:r>
          </w:p>
        </w:tc>
        <w:tc>
          <w:tcPr>
            <w:tcW w:w="645" w:type="dxa"/>
            <w:noWrap/>
            <w:vAlign w:val="center"/>
          </w:tcPr>
          <w:p>
            <w:pPr>
              <w:jc w:val="center"/>
            </w:pPr>
            <w:r>
              <w:rPr>
                <w:rFonts w:hint="eastAsia"/>
              </w:rPr>
              <w:t>32</w:t>
            </w:r>
          </w:p>
        </w:tc>
        <w:tc>
          <w:tcPr>
            <w:tcW w:w="840" w:type="dxa"/>
            <w:vAlign w:val="center"/>
          </w:tcPr>
          <w:p>
            <w:pPr>
              <w:jc w:val="center"/>
            </w:pPr>
            <w:r>
              <w:rPr>
                <w:rFonts w:hint="eastAsia"/>
              </w:rPr>
              <w:t>2</w:t>
            </w:r>
          </w:p>
        </w:tc>
        <w:tc>
          <w:tcPr>
            <w:tcW w:w="720" w:type="dxa"/>
            <w:noWrap/>
            <w:vAlign w:val="center"/>
          </w:tcPr>
          <w:p>
            <w:pPr>
              <w:jc w:val="center"/>
            </w:pPr>
          </w:p>
        </w:tc>
        <w:tc>
          <w:tcPr>
            <w:tcW w:w="705" w:type="dxa"/>
            <w:noWrap/>
            <w:vAlign w:val="center"/>
          </w:tcPr>
          <w:p>
            <w:pPr>
              <w:jc w:val="center"/>
            </w:pPr>
          </w:p>
        </w:tc>
        <w:tc>
          <w:tcPr>
            <w:tcW w:w="720" w:type="dxa"/>
            <w:noWrap/>
            <w:vAlign w:val="center"/>
          </w:tcPr>
          <w:p>
            <w:pPr>
              <w:jc w:val="center"/>
            </w:pPr>
            <w:r>
              <w:rPr>
                <w:rFonts w:hint="eastAsia"/>
              </w:rPr>
              <w:t>32</w:t>
            </w: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网络</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13</w:t>
            </w:r>
          </w:p>
        </w:tc>
        <w:tc>
          <w:tcPr>
            <w:tcW w:w="1763" w:type="dxa"/>
            <w:gridSpan w:val="2"/>
            <w:vAlign w:val="center"/>
          </w:tcPr>
          <w:p>
            <w:pPr>
              <w:jc w:val="center"/>
            </w:pPr>
            <w:r>
              <w:rPr>
                <w:rFonts w:hint="eastAsia"/>
              </w:rPr>
              <w:t>入学教育及军训</w:t>
            </w:r>
          </w:p>
        </w:tc>
        <w:tc>
          <w:tcPr>
            <w:tcW w:w="570" w:type="dxa"/>
            <w:noWrap/>
            <w:vAlign w:val="center"/>
          </w:tcPr>
          <w:p>
            <w:pPr>
              <w:jc w:val="center"/>
            </w:pPr>
            <w:r>
              <w:rPr>
                <w:rFonts w:hint="eastAsia"/>
              </w:rPr>
              <w:t>0</w:t>
            </w:r>
          </w:p>
        </w:tc>
        <w:tc>
          <w:tcPr>
            <w:tcW w:w="668" w:type="dxa"/>
            <w:gridSpan w:val="3"/>
            <w:noWrap/>
            <w:vAlign w:val="center"/>
          </w:tcPr>
          <w:p>
            <w:pPr>
              <w:jc w:val="center"/>
            </w:pPr>
            <w:r>
              <w:rPr>
                <w:rFonts w:hint="eastAsia"/>
              </w:rPr>
              <w:t>48</w:t>
            </w:r>
          </w:p>
        </w:tc>
        <w:tc>
          <w:tcPr>
            <w:tcW w:w="645" w:type="dxa"/>
            <w:noWrap/>
            <w:vAlign w:val="center"/>
          </w:tcPr>
          <w:p>
            <w:pPr>
              <w:jc w:val="center"/>
            </w:pPr>
            <w:r>
              <w:rPr>
                <w:rFonts w:hint="eastAsia"/>
              </w:rPr>
              <w:t>48</w:t>
            </w:r>
          </w:p>
        </w:tc>
        <w:tc>
          <w:tcPr>
            <w:tcW w:w="840" w:type="dxa"/>
            <w:vAlign w:val="center"/>
          </w:tcPr>
          <w:p>
            <w:pPr>
              <w:jc w:val="center"/>
            </w:pPr>
            <w:r>
              <w:rPr>
                <w:rFonts w:hint="eastAsia"/>
              </w:rPr>
              <w:t>2</w:t>
            </w:r>
          </w:p>
        </w:tc>
        <w:tc>
          <w:tcPr>
            <w:tcW w:w="720" w:type="dxa"/>
            <w:noWrap/>
            <w:vAlign w:val="center"/>
          </w:tcPr>
          <w:p>
            <w:pPr>
              <w:jc w:val="center"/>
            </w:pPr>
            <w:r>
              <w:rPr>
                <w:rFonts w:hint="eastAsia"/>
              </w:rPr>
              <w:t>2*24</w:t>
            </w:r>
          </w:p>
        </w:tc>
        <w:tc>
          <w:tcPr>
            <w:tcW w:w="705" w:type="dxa"/>
            <w:noWrap/>
            <w:vAlign w:val="center"/>
          </w:tcPr>
          <w:p>
            <w:pPr>
              <w:jc w:val="center"/>
            </w:pPr>
          </w:p>
        </w:tc>
        <w:tc>
          <w:tcPr>
            <w:tcW w:w="720" w:type="dxa"/>
            <w:noWrap/>
            <w:vAlign w:val="center"/>
          </w:tcPr>
          <w:p>
            <w:pPr>
              <w:jc w:val="center"/>
            </w:pP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实践</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852" w:type="dxa"/>
            <w:gridSpan w:val="2"/>
            <w:vMerge w:val="continue"/>
            <w:vAlign w:val="center"/>
          </w:tcPr>
          <w:p>
            <w:pPr>
              <w:widowControl/>
              <w:jc w:val="center"/>
              <w:rPr>
                <w:rFonts w:ascii="宋体" w:cs="宋体"/>
                <w:kern w:val="0"/>
                <w:szCs w:val="21"/>
              </w:rPr>
            </w:pPr>
          </w:p>
        </w:tc>
        <w:tc>
          <w:tcPr>
            <w:tcW w:w="446" w:type="dxa"/>
            <w:noWrap/>
            <w:vAlign w:val="center"/>
          </w:tcPr>
          <w:p>
            <w:pPr>
              <w:jc w:val="center"/>
            </w:pPr>
            <w:r>
              <w:rPr>
                <w:rFonts w:hint="eastAsia"/>
              </w:rPr>
              <w:t>14</w:t>
            </w:r>
          </w:p>
        </w:tc>
        <w:tc>
          <w:tcPr>
            <w:tcW w:w="1763" w:type="dxa"/>
            <w:gridSpan w:val="2"/>
            <w:vAlign w:val="center"/>
          </w:tcPr>
          <w:p>
            <w:pPr>
              <w:jc w:val="center"/>
            </w:pPr>
            <w:r>
              <w:rPr>
                <w:rFonts w:hint="eastAsia"/>
              </w:rPr>
              <w:t>劳动教育</w:t>
            </w:r>
          </w:p>
        </w:tc>
        <w:tc>
          <w:tcPr>
            <w:tcW w:w="570" w:type="dxa"/>
            <w:noWrap/>
            <w:vAlign w:val="center"/>
          </w:tcPr>
          <w:p>
            <w:pPr>
              <w:jc w:val="center"/>
            </w:pPr>
            <w:r>
              <w:rPr>
                <w:rFonts w:hint="eastAsia"/>
              </w:rPr>
              <w:t>0</w:t>
            </w:r>
          </w:p>
        </w:tc>
        <w:tc>
          <w:tcPr>
            <w:tcW w:w="668" w:type="dxa"/>
            <w:gridSpan w:val="3"/>
            <w:noWrap/>
            <w:vAlign w:val="center"/>
          </w:tcPr>
          <w:p>
            <w:pPr>
              <w:jc w:val="center"/>
            </w:pPr>
            <w:r>
              <w:rPr>
                <w:rFonts w:hint="eastAsia"/>
              </w:rPr>
              <w:t>24</w:t>
            </w:r>
          </w:p>
        </w:tc>
        <w:tc>
          <w:tcPr>
            <w:tcW w:w="645" w:type="dxa"/>
            <w:noWrap/>
            <w:vAlign w:val="center"/>
          </w:tcPr>
          <w:p>
            <w:pPr>
              <w:jc w:val="center"/>
            </w:pPr>
            <w:r>
              <w:rPr>
                <w:rFonts w:hint="eastAsia"/>
              </w:rPr>
              <w:t>24</w:t>
            </w:r>
          </w:p>
        </w:tc>
        <w:tc>
          <w:tcPr>
            <w:tcW w:w="840" w:type="dxa"/>
            <w:vAlign w:val="center"/>
          </w:tcPr>
          <w:p>
            <w:pPr>
              <w:jc w:val="center"/>
            </w:pPr>
            <w:r>
              <w:rPr>
                <w:rFonts w:hint="eastAsia"/>
              </w:rPr>
              <w:t>1</w:t>
            </w:r>
          </w:p>
        </w:tc>
        <w:tc>
          <w:tcPr>
            <w:tcW w:w="720" w:type="dxa"/>
            <w:noWrap/>
            <w:vAlign w:val="center"/>
          </w:tcPr>
          <w:p>
            <w:pPr>
              <w:jc w:val="center"/>
            </w:pPr>
          </w:p>
        </w:tc>
        <w:tc>
          <w:tcPr>
            <w:tcW w:w="705" w:type="dxa"/>
            <w:noWrap/>
            <w:vAlign w:val="center"/>
          </w:tcPr>
          <w:p>
            <w:pPr>
              <w:jc w:val="center"/>
            </w:pPr>
          </w:p>
        </w:tc>
        <w:tc>
          <w:tcPr>
            <w:tcW w:w="720" w:type="dxa"/>
            <w:noWrap/>
            <w:vAlign w:val="center"/>
          </w:tcPr>
          <w:p>
            <w:pPr>
              <w:jc w:val="center"/>
            </w:pPr>
            <w:r>
              <w:rPr>
                <w:rFonts w:hint="eastAsia"/>
              </w:rPr>
              <w:t>1*24</w:t>
            </w:r>
          </w:p>
        </w:tc>
        <w:tc>
          <w:tcPr>
            <w:tcW w:w="765" w:type="dxa"/>
            <w:gridSpan w:val="2"/>
            <w:noWrap/>
            <w:vAlign w:val="center"/>
          </w:tcPr>
          <w:p>
            <w:pPr>
              <w:jc w:val="center"/>
            </w:pPr>
          </w:p>
        </w:tc>
        <w:tc>
          <w:tcPr>
            <w:tcW w:w="675" w:type="dxa"/>
            <w:gridSpan w:val="2"/>
            <w:noWrap/>
            <w:vAlign w:val="center"/>
          </w:tcPr>
          <w:p>
            <w:pPr>
              <w:jc w:val="center"/>
            </w:pPr>
          </w:p>
        </w:tc>
        <w:tc>
          <w:tcPr>
            <w:tcW w:w="825" w:type="dxa"/>
            <w:gridSpan w:val="2"/>
            <w:noWrap/>
            <w:vAlign w:val="center"/>
          </w:tcPr>
          <w:p>
            <w:pPr>
              <w:jc w:val="center"/>
            </w:pPr>
          </w:p>
        </w:tc>
        <w:tc>
          <w:tcPr>
            <w:tcW w:w="1200" w:type="dxa"/>
            <w:gridSpan w:val="2"/>
            <w:noWrap/>
            <w:vAlign w:val="center"/>
          </w:tcPr>
          <w:p>
            <w:pPr>
              <w:jc w:val="center"/>
            </w:pPr>
            <w:r>
              <w:rPr>
                <w:rFonts w:hint="eastAsia"/>
              </w:rPr>
              <w:t>实践</w:t>
            </w:r>
          </w:p>
        </w:tc>
        <w:tc>
          <w:tcPr>
            <w:tcW w:w="697" w:type="dxa"/>
            <w:noWrap/>
            <w:vAlign w:val="center"/>
          </w:tcPr>
          <w:p>
            <w:pPr>
              <w:jc w:val="center"/>
            </w:pPr>
            <w:r>
              <w:rPr>
                <w:rFonts w:hint="eastAsia"/>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3061" w:type="dxa"/>
            <w:gridSpan w:val="5"/>
            <w:noWrap/>
            <w:vAlign w:val="center"/>
          </w:tcPr>
          <w:p>
            <w:pPr>
              <w:widowControl/>
              <w:jc w:val="center"/>
              <w:rPr>
                <w:rFonts w:ascii="宋体" w:hAnsi="宋体" w:eastAsia="宋体" w:cs="宋体"/>
                <w:b/>
                <w:bCs/>
                <w:kern w:val="0"/>
                <w:szCs w:val="21"/>
              </w:rPr>
            </w:pPr>
            <w:r>
              <w:rPr>
                <w:rFonts w:hint="eastAsia" w:ascii="宋体" w:hAnsi="宋体" w:eastAsia="宋体" w:cs="宋体"/>
                <w:b/>
                <w:bCs/>
                <w:kern w:val="0"/>
                <w:szCs w:val="21"/>
              </w:rPr>
              <w:t>小计（非）</w:t>
            </w:r>
          </w:p>
        </w:tc>
        <w:tc>
          <w:tcPr>
            <w:tcW w:w="570" w:type="dxa"/>
            <w:noWrap/>
            <w:vAlign w:val="center"/>
          </w:tcPr>
          <w:p>
            <w:pPr>
              <w:jc w:val="center"/>
              <w:rPr>
                <w:rFonts w:ascii="宋体" w:hAnsi="宋体" w:eastAsia="宋体" w:cs="宋体"/>
                <w:b/>
                <w:bCs/>
                <w:szCs w:val="21"/>
              </w:rPr>
            </w:pPr>
            <w:r>
              <w:rPr>
                <w:rFonts w:hint="eastAsia"/>
                <w:b/>
                <w:bCs/>
                <w:szCs w:val="21"/>
              </w:rPr>
              <w:t>421</w:t>
            </w:r>
          </w:p>
        </w:tc>
        <w:tc>
          <w:tcPr>
            <w:tcW w:w="668" w:type="dxa"/>
            <w:gridSpan w:val="3"/>
            <w:noWrap/>
            <w:vAlign w:val="center"/>
          </w:tcPr>
          <w:p>
            <w:pPr>
              <w:jc w:val="center"/>
              <w:rPr>
                <w:rFonts w:ascii="宋体" w:hAnsi="宋体" w:eastAsia="宋体" w:cs="宋体"/>
                <w:b/>
                <w:bCs/>
                <w:szCs w:val="21"/>
              </w:rPr>
            </w:pPr>
            <w:r>
              <w:rPr>
                <w:rFonts w:hint="eastAsia"/>
                <w:b/>
                <w:bCs/>
                <w:szCs w:val="21"/>
              </w:rPr>
              <w:t>205</w:t>
            </w:r>
          </w:p>
        </w:tc>
        <w:tc>
          <w:tcPr>
            <w:tcW w:w="645" w:type="dxa"/>
            <w:noWrap/>
            <w:vAlign w:val="center"/>
          </w:tcPr>
          <w:p>
            <w:pPr>
              <w:jc w:val="center"/>
              <w:rPr>
                <w:rFonts w:ascii="宋体" w:hAnsi="宋体" w:eastAsia="宋体" w:cs="宋体"/>
                <w:b/>
                <w:bCs/>
                <w:szCs w:val="21"/>
              </w:rPr>
            </w:pPr>
            <w:r>
              <w:rPr>
                <w:rFonts w:hint="eastAsia"/>
                <w:b/>
                <w:bCs/>
                <w:szCs w:val="21"/>
              </w:rPr>
              <w:t>626</w:t>
            </w:r>
          </w:p>
        </w:tc>
        <w:tc>
          <w:tcPr>
            <w:tcW w:w="840" w:type="dxa"/>
            <w:vAlign w:val="center"/>
          </w:tcPr>
          <w:p>
            <w:pPr>
              <w:jc w:val="center"/>
              <w:rPr>
                <w:rFonts w:ascii="宋体" w:hAnsi="宋体" w:eastAsia="宋体" w:cs="宋体"/>
                <w:b/>
                <w:bCs/>
                <w:szCs w:val="21"/>
              </w:rPr>
            </w:pPr>
            <w:r>
              <w:rPr>
                <w:rFonts w:hint="eastAsia"/>
                <w:b/>
                <w:bCs/>
                <w:szCs w:val="21"/>
              </w:rPr>
              <w:t>35.5</w:t>
            </w:r>
          </w:p>
        </w:tc>
        <w:tc>
          <w:tcPr>
            <w:tcW w:w="720" w:type="dxa"/>
            <w:noWrap/>
            <w:vAlign w:val="center"/>
          </w:tcPr>
          <w:p>
            <w:pPr>
              <w:jc w:val="center"/>
              <w:rPr>
                <w:rFonts w:ascii="宋体" w:hAnsi="宋体" w:eastAsia="宋体" w:cs="宋体"/>
                <w:b/>
                <w:bCs/>
                <w:sz w:val="20"/>
                <w:szCs w:val="20"/>
              </w:rPr>
            </w:pPr>
            <w:r>
              <w:rPr>
                <w:rFonts w:hint="eastAsia"/>
                <w:b/>
                <w:bCs/>
                <w:sz w:val="20"/>
                <w:szCs w:val="20"/>
              </w:rPr>
              <w:t>274</w:t>
            </w:r>
          </w:p>
        </w:tc>
        <w:tc>
          <w:tcPr>
            <w:tcW w:w="705" w:type="dxa"/>
            <w:noWrap/>
            <w:vAlign w:val="center"/>
          </w:tcPr>
          <w:p>
            <w:pPr>
              <w:jc w:val="center"/>
              <w:rPr>
                <w:rFonts w:ascii="宋体" w:hAnsi="宋体" w:eastAsia="宋体" w:cs="宋体"/>
                <w:b/>
                <w:bCs/>
                <w:sz w:val="20"/>
                <w:szCs w:val="20"/>
              </w:rPr>
            </w:pPr>
            <w:r>
              <w:rPr>
                <w:rFonts w:hint="eastAsia"/>
                <w:b/>
                <w:bCs/>
                <w:sz w:val="20"/>
                <w:szCs w:val="20"/>
              </w:rPr>
              <w:t>176</w:t>
            </w:r>
          </w:p>
        </w:tc>
        <w:tc>
          <w:tcPr>
            <w:tcW w:w="720" w:type="dxa"/>
            <w:noWrap/>
            <w:vAlign w:val="center"/>
          </w:tcPr>
          <w:p>
            <w:pPr>
              <w:jc w:val="center"/>
              <w:rPr>
                <w:rFonts w:ascii="宋体" w:hAnsi="宋体" w:eastAsia="宋体" w:cs="宋体"/>
                <w:b/>
                <w:bCs/>
                <w:sz w:val="20"/>
                <w:szCs w:val="20"/>
              </w:rPr>
            </w:pPr>
            <w:r>
              <w:rPr>
                <w:rFonts w:hint="eastAsia"/>
                <w:b/>
                <w:bCs/>
                <w:sz w:val="20"/>
                <w:szCs w:val="20"/>
              </w:rPr>
              <w:t>113</w:t>
            </w:r>
          </w:p>
        </w:tc>
        <w:tc>
          <w:tcPr>
            <w:tcW w:w="765" w:type="dxa"/>
            <w:gridSpan w:val="2"/>
            <w:noWrap/>
            <w:vAlign w:val="center"/>
          </w:tcPr>
          <w:p>
            <w:pPr>
              <w:jc w:val="center"/>
              <w:rPr>
                <w:rFonts w:ascii="宋体" w:hAnsi="宋体" w:eastAsia="宋体" w:cs="宋体"/>
                <w:b/>
                <w:bCs/>
                <w:sz w:val="20"/>
                <w:szCs w:val="20"/>
              </w:rPr>
            </w:pPr>
            <w:r>
              <w:rPr>
                <w:rFonts w:hint="eastAsia"/>
                <w:b/>
                <w:bCs/>
                <w:sz w:val="20"/>
                <w:szCs w:val="20"/>
              </w:rPr>
              <w:t>47</w:t>
            </w:r>
          </w:p>
        </w:tc>
        <w:tc>
          <w:tcPr>
            <w:tcW w:w="675" w:type="dxa"/>
            <w:gridSpan w:val="2"/>
            <w:noWrap/>
            <w:vAlign w:val="center"/>
          </w:tcPr>
          <w:p>
            <w:pPr>
              <w:jc w:val="center"/>
              <w:rPr>
                <w:rFonts w:ascii="宋体" w:hAnsi="宋体" w:eastAsia="宋体" w:cs="宋体"/>
                <w:b/>
                <w:bCs/>
                <w:sz w:val="20"/>
                <w:szCs w:val="20"/>
              </w:rPr>
            </w:pPr>
            <w:r>
              <w:rPr>
                <w:rFonts w:hint="eastAsia"/>
                <w:b/>
                <w:bCs/>
                <w:sz w:val="20"/>
                <w:szCs w:val="20"/>
              </w:rPr>
              <w:t>16</w:t>
            </w:r>
          </w:p>
        </w:tc>
        <w:tc>
          <w:tcPr>
            <w:tcW w:w="825" w:type="dxa"/>
            <w:gridSpan w:val="2"/>
            <w:noWrap/>
            <w:vAlign w:val="center"/>
          </w:tcPr>
          <w:p>
            <w:pPr>
              <w:jc w:val="center"/>
              <w:rPr>
                <w:rFonts w:ascii="宋体" w:hAnsi="宋体" w:eastAsia="宋体" w:cs="宋体"/>
                <w:b/>
                <w:bCs/>
                <w:sz w:val="20"/>
                <w:szCs w:val="20"/>
              </w:rPr>
            </w:pPr>
          </w:p>
        </w:tc>
        <w:tc>
          <w:tcPr>
            <w:tcW w:w="1200" w:type="dxa"/>
            <w:gridSpan w:val="2"/>
            <w:noWrap/>
            <w:vAlign w:val="center"/>
          </w:tcPr>
          <w:p>
            <w:pPr>
              <w:jc w:val="center"/>
              <w:rPr>
                <w:rFonts w:ascii="宋体" w:hAnsi="宋体" w:eastAsia="宋体" w:cs="宋体"/>
                <w:b/>
                <w:bCs/>
                <w:sz w:val="20"/>
                <w:szCs w:val="20"/>
              </w:rPr>
            </w:pPr>
          </w:p>
        </w:tc>
        <w:tc>
          <w:tcPr>
            <w:tcW w:w="697" w:type="dxa"/>
            <w:noWrap/>
            <w:vAlign w:val="center"/>
          </w:tcPr>
          <w:p>
            <w:pPr>
              <w:widowControl/>
              <w:jc w:val="center"/>
              <w:rPr>
                <w:rFonts w:ascii="宋体" w:cs="宋体"/>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244" w:hRule="atLeast"/>
        </w:trPr>
        <w:tc>
          <w:tcPr>
            <w:tcW w:w="426" w:type="dxa"/>
            <w:vMerge w:val="restart"/>
            <w:vAlign w:val="center"/>
          </w:tcPr>
          <w:p>
            <w:pPr>
              <w:widowControl/>
              <w:jc w:val="center"/>
              <w:rPr>
                <w:rFonts w:ascii="宋体" w:cs="宋体"/>
                <w:kern w:val="0"/>
                <w:szCs w:val="21"/>
              </w:rPr>
            </w:pPr>
            <w:r>
              <w:rPr>
                <w:rFonts w:hint="eastAsia" w:ascii="宋体" w:cs="宋体"/>
                <w:kern w:val="0"/>
                <w:szCs w:val="21"/>
              </w:rPr>
              <w:t>专业</w:t>
            </w:r>
          </w:p>
          <w:p>
            <w:pPr>
              <w:widowControl/>
              <w:jc w:val="center"/>
              <w:rPr>
                <w:rFonts w:ascii="宋体" w:cs="宋体"/>
                <w:kern w:val="0"/>
                <w:szCs w:val="21"/>
              </w:rPr>
            </w:pPr>
            <w:r>
              <w:rPr>
                <w:rFonts w:hint="eastAsia" w:ascii="宋体" w:hAnsi="宋体" w:eastAsia="宋体" w:cs="宋体"/>
                <w:kern w:val="0"/>
                <w:szCs w:val="21"/>
              </w:rPr>
              <w:t>︵</w:t>
            </w:r>
            <w:r>
              <w:rPr>
                <w:rFonts w:hint="eastAsia" w:ascii="宋体" w:cs="宋体"/>
                <w:kern w:val="0"/>
                <w:szCs w:val="21"/>
              </w:rPr>
              <w:t>技能</w:t>
            </w:r>
          </w:p>
          <w:p>
            <w:pPr>
              <w:widowControl/>
              <w:jc w:val="center"/>
              <w:rPr>
                <w:rFonts w:ascii="宋体" w:cs="宋体"/>
                <w:kern w:val="0"/>
                <w:szCs w:val="21"/>
              </w:rPr>
            </w:pPr>
            <w:r>
              <w:rPr>
                <w:rFonts w:hint="eastAsia" w:cs="宋体" w:asciiTheme="minorEastAsia" w:hAnsiTheme="minorEastAsia"/>
                <w:kern w:val="0"/>
                <w:szCs w:val="21"/>
              </w:rPr>
              <w:t>︶</w:t>
            </w:r>
            <w:r>
              <w:rPr>
                <w:rFonts w:hint="eastAsia" w:ascii="宋体" w:cs="宋体"/>
                <w:kern w:val="0"/>
                <w:szCs w:val="21"/>
              </w:rPr>
              <w:t>课</w:t>
            </w:r>
          </w:p>
        </w:tc>
        <w:tc>
          <w:tcPr>
            <w:tcW w:w="426" w:type="dxa"/>
            <w:vMerge w:val="restart"/>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1"/>
                <w:lang w:val="en-US" w:eastAsia="zh-CN" w:bidi="ar"/>
              </w:rPr>
              <w:t>专业基础课</w:t>
            </w:r>
          </w:p>
        </w:tc>
        <w:tc>
          <w:tcPr>
            <w:tcW w:w="446" w:type="dxa"/>
            <w:noWrap/>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2"/>
                <w:lang w:val="en-US" w:eastAsia="zh-CN" w:bidi="ar"/>
              </w:rPr>
              <w:t>1</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建筑识图与构造</w:t>
            </w:r>
          </w:p>
        </w:tc>
        <w:tc>
          <w:tcPr>
            <w:tcW w:w="570"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cs="Calibri"/>
                <w:color w:val="000000"/>
                <w:kern w:val="0"/>
                <w:szCs w:val="21"/>
                <w:lang w:bidi="ar"/>
              </w:rPr>
              <w:t>30</w:t>
            </w:r>
          </w:p>
        </w:tc>
        <w:tc>
          <w:tcPr>
            <w:tcW w:w="668" w:type="dxa"/>
            <w:gridSpan w:val="3"/>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cs="Calibri"/>
                <w:color w:val="000000"/>
                <w:kern w:val="0"/>
                <w:szCs w:val="21"/>
                <w:lang w:bidi="ar"/>
              </w:rPr>
              <w:t>26</w:t>
            </w:r>
          </w:p>
        </w:tc>
        <w:tc>
          <w:tcPr>
            <w:tcW w:w="645"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cs="Calibri"/>
                <w:color w:val="000000"/>
                <w:kern w:val="0"/>
                <w:szCs w:val="21"/>
                <w:lang w:bidi="ar"/>
              </w:rPr>
              <w:t>56</w:t>
            </w:r>
          </w:p>
        </w:tc>
        <w:tc>
          <w:tcPr>
            <w:tcW w:w="84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color w:val="000000"/>
                <w:sz w:val="20"/>
                <w:szCs w:val="20"/>
              </w:rPr>
              <w:t>3</w:t>
            </w:r>
          </w:p>
        </w:tc>
        <w:tc>
          <w:tcPr>
            <w:tcW w:w="720" w:type="dxa"/>
            <w:noWrap/>
            <w:vAlign w:val="center"/>
          </w:tcPr>
          <w:p>
            <w:pPr>
              <w:widowControl/>
              <w:jc w:val="center"/>
              <w:rPr>
                <w:rFonts w:hint="eastAsia" w:ascii="宋体" w:hAnsi="Calibri" w:eastAsia="宋体" w:cs="宋体"/>
                <w:kern w:val="0"/>
                <w:sz w:val="21"/>
                <w:szCs w:val="21"/>
                <w:lang w:val="en-US" w:eastAsia="zh-CN" w:bidi="ar-SA"/>
              </w:rPr>
            </w:pPr>
            <w:r>
              <w:rPr>
                <w:lang w:bidi="ar"/>
              </w:rPr>
              <w:t>14*4</w:t>
            </w:r>
          </w:p>
        </w:tc>
        <w:tc>
          <w:tcPr>
            <w:tcW w:w="705" w:type="dxa"/>
            <w:noWrap/>
            <w:vAlign w:val="center"/>
          </w:tcPr>
          <w:p>
            <w:pPr>
              <w:widowControl/>
              <w:jc w:val="center"/>
              <w:rPr>
                <w:rFonts w:hint="eastAsia" w:ascii="宋体" w:hAnsi="Calibri" w:eastAsia="宋体" w:cs="宋体"/>
                <w:kern w:val="0"/>
                <w:sz w:val="21"/>
                <w:szCs w:val="21"/>
                <w:lang w:val="en-US" w:eastAsia="zh-CN" w:bidi="ar-SA"/>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233"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jc w:val="center"/>
              <w:rPr>
                <w:rFonts w:ascii="宋体" w:cs="宋体"/>
                <w:kern w:val="0"/>
                <w:szCs w:val="21"/>
              </w:rPr>
            </w:pPr>
          </w:p>
        </w:tc>
        <w:tc>
          <w:tcPr>
            <w:tcW w:w="446" w:type="dxa"/>
            <w:noWrap/>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2"/>
                <w:lang w:val="en-US" w:eastAsia="zh-CN" w:bidi="ar"/>
              </w:rPr>
              <w:t>2</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建筑材料</w:t>
            </w:r>
          </w:p>
        </w:tc>
        <w:tc>
          <w:tcPr>
            <w:tcW w:w="570"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cs="Calibri"/>
                <w:color w:val="000000"/>
                <w:kern w:val="0"/>
                <w:szCs w:val="21"/>
                <w:lang w:bidi="ar"/>
              </w:rPr>
              <w:t>30</w:t>
            </w:r>
          </w:p>
        </w:tc>
        <w:tc>
          <w:tcPr>
            <w:tcW w:w="668" w:type="dxa"/>
            <w:gridSpan w:val="3"/>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cs="Calibri"/>
                <w:color w:val="000000"/>
                <w:kern w:val="0"/>
                <w:szCs w:val="21"/>
                <w:lang w:bidi="ar"/>
              </w:rPr>
              <w:t>12</w:t>
            </w:r>
          </w:p>
        </w:tc>
        <w:tc>
          <w:tcPr>
            <w:tcW w:w="645"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cs="Calibri"/>
                <w:color w:val="000000"/>
                <w:kern w:val="0"/>
                <w:szCs w:val="21"/>
                <w:lang w:bidi="ar"/>
              </w:rPr>
              <w:t>42</w:t>
            </w:r>
          </w:p>
        </w:tc>
        <w:tc>
          <w:tcPr>
            <w:tcW w:w="84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color w:val="000000"/>
                <w:sz w:val="20"/>
                <w:szCs w:val="20"/>
              </w:rPr>
              <w:t>2.5</w:t>
            </w:r>
          </w:p>
        </w:tc>
        <w:tc>
          <w:tcPr>
            <w:tcW w:w="720" w:type="dxa"/>
            <w:noWrap/>
            <w:vAlign w:val="center"/>
          </w:tcPr>
          <w:p>
            <w:pPr>
              <w:widowControl/>
              <w:jc w:val="center"/>
              <w:rPr>
                <w:rFonts w:hint="eastAsia" w:ascii="宋体" w:hAnsi="Calibri" w:eastAsia="宋体" w:cs="宋体"/>
                <w:kern w:val="0"/>
                <w:sz w:val="21"/>
                <w:szCs w:val="21"/>
                <w:lang w:val="en-US" w:eastAsia="zh-CN" w:bidi="ar-SA"/>
              </w:rPr>
            </w:pPr>
            <w:r>
              <w:rPr>
                <w:rFonts w:hint="eastAsia" w:ascii="宋体" w:hAnsi="宋体" w:cs="宋体"/>
                <w:kern w:val="0"/>
                <w:lang w:bidi="ar"/>
              </w:rPr>
              <w:t>14*3</w:t>
            </w:r>
          </w:p>
        </w:tc>
        <w:tc>
          <w:tcPr>
            <w:tcW w:w="705" w:type="dxa"/>
            <w:noWrap/>
            <w:vAlign w:val="center"/>
          </w:tcPr>
          <w:p>
            <w:pPr>
              <w:widowControl/>
              <w:jc w:val="center"/>
              <w:rPr>
                <w:rFonts w:hint="eastAsia" w:ascii="宋体" w:hAnsi="Calibri" w:eastAsia="宋体" w:cs="宋体"/>
                <w:kern w:val="0"/>
                <w:sz w:val="21"/>
                <w:szCs w:val="21"/>
                <w:lang w:val="en-US" w:eastAsia="zh-CN" w:bidi="ar-SA"/>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439"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jc w:val="center"/>
              <w:rPr>
                <w:rFonts w:ascii="宋体" w:cs="宋体"/>
                <w:kern w:val="0"/>
                <w:szCs w:val="21"/>
              </w:rPr>
            </w:pPr>
          </w:p>
        </w:tc>
        <w:tc>
          <w:tcPr>
            <w:tcW w:w="446" w:type="dxa"/>
            <w:noWrap/>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2"/>
                <w:lang w:val="en-US" w:eastAsia="zh-CN" w:bidi="ar"/>
              </w:rPr>
              <w:t>2</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建筑力学</w:t>
            </w:r>
          </w:p>
        </w:tc>
        <w:tc>
          <w:tcPr>
            <w:tcW w:w="570"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cs="Calibri"/>
                <w:color w:val="000000"/>
                <w:kern w:val="0"/>
                <w:szCs w:val="21"/>
                <w:lang w:bidi="ar"/>
              </w:rPr>
              <w:t>30</w:t>
            </w:r>
          </w:p>
        </w:tc>
        <w:tc>
          <w:tcPr>
            <w:tcW w:w="668" w:type="dxa"/>
            <w:gridSpan w:val="3"/>
            <w:noWrap/>
            <w:vAlign w:val="center"/>
          </w:tcPr>
          <w:p>
            <w:pPr>
              <w:widowControl/>
              <w:jc w:val="center"/>
              <w:textAlignment w:val="center"/>
              <w:rPr>
                <w:rFonts w:hint="eastAsia" w:ascii="宋体" w:hAnsi="Calibri" w:eastAsia="宋体" w:cs="宋体"/>
                <w:kern w:val="0"/>
                <w:sz w:val="21"/>
                <w:szCs w:val="21"/>
                <w:lang w:val="en-US" w:eastAsia="zh-CN" w:bidi="ar-SA"/>
              </w:rPr>
            </w:pPr>
            <w:r>
              <w:rPr>
                <w:rFonts w:cs="Calibri"/>
                <w:color w:val="000000"/>
                <w:kern w:val="0"/>
                <w:szCs w:val="21"/>
                <w:lang w:bidi="ar"/>
              </w:rPr>
              <w:t>12</w:t>
            </w:r>
          </w:p>
        </w:tc>
        <w:tc>
          <w:tcPr>
            <w:tcW w:w="645"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cs="Calibri"/>
                <w:color w:val="000000"/>
                <w:kern w:val="0"/>
                <w:szCs w:val="21"/>
                <w:lang w:bidi="ar"/>
              </w:rPr>
              <w:t>42</w:t>
            </w:r>
          </w:p>
        </w:tc>
        <w:tc>
          <w:tcPr>
            <w:tcW w:w="84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color w:val="000000"/>
                <w:sz w:val="20"/>
                <w:szCs w:val="20"/>
              </w:rPr>
              <w:t>2.5</w:t>
            </w:r>
          </w:p>
        </w:tc>
        <w:tc>
          <w:tcPr>
            <w:tcW w:w="720" w:type="dxa"/>
            <w:noWrap/>
            <w:vAlign w:val="center"/>
          </w:tcPr>
          <w:p>
            <w:pPr>
              <w:widowControl/>
              <w:jc w:val="center"/>
              <w:rPr>
                <w:rFonts w:hint="eastAsia" w:ascii="宋体" w:hAnsi="Calibri" w:eastAsia="宋体" w:cs="宋体"/>
                <w:kern w:val="0"/>
                <w:sz w:val="21"/>
                <w:szCs w:val="21"/>
                <w:lang w:val="en-US" w:eastAsia="zh-CN" w:bidi="ar-SA"/>
              </w:rPr>
            </w:pPr>
            <w:r>
              <w:rPr>
                <w:rFonts w:hint="eastAsia" w:ascii="宋体" w:hAnsi="宋体" w:cs="宋体"/>
                <w:kern w:val="0"/>
                <w:lang w:bidi="ar"/>
              </w:rPr>
              <w:t>14*3</w:t>
            </w:r>
          </w:p>
        </w:tc>
        <w:tc>
          <w:tcPr>
            <w:tcW w:w="705" w:type="dxa"/>
            <w:noWrap/>
            <w:vAlign w:val="center"/>
          </w:tcPr>
          <w:p>
            <w:pPr>
              <w:widowControl/>
              <w:jc w:val="center"/>
              <w:rPr>
                <w:rFonts w:hint="eastAsia" w:ascii="宋体" w:hAnsi="Calibri" w:eastAsia="宋体" w:cs="宋体"/>
                <w:kern w:val="0"/>
                <w:sz w:val="21"/>
                <w:szCs w:val="21"/>
                <w:lang w:val="en-US" w:eastAsia="zh-CN" w:bidi="ar-SA"/>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6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jc w:val="center"/>
              <w:rPr>
                <w:rFonts w:ascii="宋体" w:cs="宋体"/>
                <w:kern w:val="0"/>
                <w:szCs w:val="21"/>
              </w:rPr>
            </w:pPr>
          </w:p>
        </w:tc>
        <w:tc>
          <w:tcPr>
            <w:tcW w:w="446" w:type="dxa"/>
            <w:noWrap/>
            <w:vAlign w:val="center"/>
          </w:tcPr>
          <w:p>
            <w:pPr>
              <w:keepNext w:val="0"/>
              <w:keepLines w:val="0"/>
              <w:widowControl/>
              <w:suppressLineNumbers w:val="0"/>
              <w:spacing w:before="0" w:beforeAutospacing="0" w:after="0" w:afterAutospacing="0"/>
              <w:ind w:left="0" w:leftChars="0" w:right="0" w:rightChars="0"/>
              <w:jc w:val="center"/>
              <w:rPr>
                <w:rFonts w:ascii="宋体" w:hAnsi="宋体" w:cs="宋体"/>
                <w:kern w:val="0"/>
                <w:szCs w:val="21"/>
              </w:rPr>
            </w:pPr>
            <w:r>
              <w:rPr>
                <w:rFonts w:hint="eastAsia" w:ascii="宋体" w:hAnsi="宋体" w:eastAsia="宋体" w:cs="宋体"/>
                <w:kern w:val="0"/>
                <w:sz w:val="21"/>
                <w:szCs w:val="21"/>
                <w:lang w:val="en-US" w:eastAsia="zh-CN" w:bidi="ar"/>
              </w:rPr>
              <w:t>4</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钢筋混凝土结构设计与识图构造</w:t>
            </w:r>
          </w:p>
        </w:tc>
        <w:tc>
          <w:tcPr>
            <w:tcW w:w="570"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36</w:t>
            </w:r>
          </w:p>
        </w:tc>
        <w:tc>
          <w:tcPr>
            <w:tcW w:w="668" w:type="dxa"/>
            <w:gridSpan w:val="3"/>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20</w:t>
            </w:r>
          </w:p>
        </w:tc>
        <w:tc>
          <w:tcPr>
            <w:tcW w:w="645"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56</w:t>
            </w:r>
          </w:p>
        </w:tc>
        <w:tc>
          <w:tcPr>
            <w:tcW w:w="84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color w:val="000000"/>
                <w:sz w:val="20"/>
                <w:szCs w:val="20"/>
              </w:rPr>
              <w:t>3</w:t>
            </w:r>
          </w:p>
        </w:tc>
        <w:tc>
          <w:tcPr>
            <w:tcW w:w="720" w:type="dxa"/>
            <w:noWrap/>
            <w:vAlign w:val="center"/>
          </w:tcPr>
          <w:p>
            <w:pPr>
              <w:widowControl/>
              <w:jc w:val="center"/>
              <w:rPr>
                <w:rFonts w:hint="eastAsia" w:ascii="宋体" w:hAnsi="Calibri" w:eastAsia="宋体" w:cs="宋体"/>
                <w:kern w:val="0"/>
                <w:sz w:val="21"/>
                <w:szCs w:val="21"/>
                <w:lang w:val="en-US" w:eastAsia="zh-CN" w:bidi="ar-SA"/>
              </w:rPr>
            </w:pPr>
          </w:p>
        </w:tc>
        <w:tc>
          <w:tcPr>
            <w:tcW w:w="705" w:type="dxa"/>
            <w:noWrap/>
            <w:vAlign w:val="center"/>
          </w:tcPr>
          <w:p>
            <w:pPr>
              <w:widowControl/>
              <w:jc w:val="center"/>
              <w:rPr>
                <w:rFonts w:hint="eastAsia" w:ascii="宋体" w:hAnsi="Calibri" w:eastAsia="宋体" w:cs="宋体"/>
                <w:kern w:val="0"/>
                <w:sz w:val="21"/>
                <w:szCs w:val="21"/>
                <w:lang w:val="en-US" w:eastAsia="zh-CN" w:bidi="ar-SA"/>
              </w:rPr>
            </w:pPr>
            <w:r>
              <w:rPr>
                <w:rFonts w:hint="eastAsia" w:ascii="宋体" w:hAnsi="宋体" w:cs="宋体"/>
                <w:kern w:val="0"/>
                <w:lang w:bidi="ar"/>
              </w:rPr>
              <w:t>14*4</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6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jc w:val="center"/>
              <w:rPr>
                <w:rFonts w:ascii="宋体" w:cs="宋体"/>
                <w:kern w:val="0"/>
                <w:szCs w:val="21"/>
              </w:rPr>
            </w:pPr>
          </w:p>
        </w:tc>
        <w:tc>
          <w:tcPr>
            <w:tcW w:w="446" w:type="dxa"/>
            <w:noWrap/>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2"/>
                <w:lang w:val="en-US" w:eastAsia="zh-CN" w:bidi="ar"/>
              </w:rPr>
              <w:t>5</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建筑CAD</w:t>
            </w:r>
          </w:p>
        </w:tc>
        <w:tc>
          <w:tcPr>
            <w:tcW w:w="570"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8</w:t>
            </w:r>
          </w:p>
        </w:tc>
        <w:tc>
          <w:tcPr>
            <w:tcW w:w="668" w:type="dxa"/>
            <w:gridSpan w:val="3"/>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48</w:t>
            </w:r>
          </w:p>
        </w:tc>
        <w:tc>
          <w:tcPr>
            <w:tcW w:w="645"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56</w:t>
            </w:r>
          </w:p>
        </w:tc>
        <w:tc>
          <w:tcPr>
            <w:tcW w:w="84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color w:val="000000"/>
                <w:sz w:val="20"/>
                <w:szCs w:val="20"/>
              </w:rPr>
              <w:t>2.5</w:t>
            </w:r>
          </w:p>
        </w:tc>
        <w:tc>
          <w:tcPr>
            <w:tcW w:w="720" w:type="dxa"/>
            <w:noWrap/>
            <w:vAlign w:val="center"/>
          </w:tcPr>
          <w:p>
            <w:pPr>
              <w:widowControl/>
              <w:jc w:val="center"/>
              <w:rPr>
                <w:rFonts w:hint="eastAsia" w:ascii="宋体" w:hAnsi="Calibri" w:eastAsia="宋体" w:cs="宋体"/>
                <w:kern w:val="0"/>
                <w:sz w:val="21"/>
                <w:szCs w:val="21"/>
                <w:lang w:val="en-US" w:eastAsia="zh-CN" w:bidi="ar-SA"/>
              </w:rPr>
            </w:pPr>
          </w:p>
        </w:tc>
        <w:tc>
          <w:tcPr>
            <w:tcW w:w="705" w:type="dxa"/>
            <w:noWrap/>
            <w:vAlign w:val="center"/>
          </w:tcPr>
          <w:p>
            <w:pPr>
              <w:widowControl/>
              <w:jc w:val="center"/>
              <w:rPr>
                <w:rFonts w:hint="eastAsia" w:ascii="宋体" w:hAnsi="Calibri" w:eastAsia="宋体" w:cs="宋体"/>
                <w:kern w:val="0"/>
                <w:sz w:val="21"/>
                <w:szCs w:val="21"/>
                <w:lang w:val="en-US" w:eastAsia="zh-CN" w:bidi="ar-SA"/>
              </w:rPr>
            </w:pPr>
            <w:r>
              <w:rPr>
                <w:rFonts w:hint="eastAsia" w:ascii="宋体" w:hAnsi="宋体" w:cs="宋体"/>
                <w:kern w:val="0"/>
                <w:lang w:bidi="ar"/>
              </w:rPr>
              <w:t>14*4</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考证</w:t>
            </w: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6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jc w:val="center"/>
              <w:rPr>
                <w:rFonts w:ascii="宋体" w:cs="宋体"/>
                <w:kern w:val="0"/>
                <w:szCs w:val="21"/>
              </w:rPr>
            </w:pPr>
          </w:p>
        </w:tc>
        <w:tc>
          <w:tcPr>
            <w:tcW w:w="446" w:type="dxa"/>
            <w:noWrap/>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2"/>
                <w:lang w:val="en-US" w:eastAsia="zh-CN" w:bidi="ar"/>
              </w:rPr>
              <w:t>6</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建筑工程测量</w:t>
            </w:r>
          </w:p>
        </w:tc>
        <w:tc>
          <w:tcPr>
            <w:tcW w:w="570"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30</w:t>
            </w:r>
          </w:p>
        </w:tc>
        <w:tc>
          <w:tcPr>
            <w:tcW w:w="668" w:type="dxa"/>
            <w:gridSpan w:val="3"/>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26</w:t>
            </w:r>
          </w:p>
        </w:tc>
        <w:tc>
          <w:tcPr>
            <w:tcW w:w="645" w:type="dxa"/>
            <w:noWrap/>
            <w:vAlign w:val="center"/>
          </w:tcPr>
          <w:p>
            <w:pPr>
              <w:widowControl/>
              <w:jc w:val="center"/>
              <w:textAlignment w:val="center"/>
              <w:rPr>
                <w:rFonts w:hint="eastAsia" w:ascii="宋体" w:hAnsi="Calibri" w:eastAsia="宋体" w:cs="宋体"/>
                <w:kern w:val="0"/>
                <w:sz w:val="21"/>
                <w:szCs w:val="21"/>
                <w:lang w:val="en-US" w:eastAsia="zh-CN" w:bidi="ar-SA"/>
              </w:rPr>
            </w:pPr>
            <w:r>
              <w:rPr>
                <w:rFonts w:hint="eastAsia" w:ascii="宋体" w:hAnsi="宋体" w:cs="宋体"/>
                <w:color w:val="000000"/>
                <w:kern w:val="0"/>
                <w:sz w:val="22"/>
                <w:lang w:bidi="ar"/>
              </w:rPr>
              <w:t>56</w:t>
            </w:r>
          </w:p>
        </w:tc>
        <w:tc>
          <w:tcPr>
            <w:tcW w:w="84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color w:val="000000"/>
                <w:sz w:val="20"/>
                <w:szCs w:val="20"/>
              </w:rPr>
              <w:t>3</w:t>
            </w:r>
          </w:p>
        </w:tc>
        <w:tc>
          <w:tcPr>
            <w:tcW w:w="720" w:type="dxa"/>
            <w:noWrap/>
            <w:vAlign w:val="center"/>
          </w:tcPr>
          <w:p>
            <w:pPr>
              <w:widowControl/>
              <w:jc w:val="center"/>
              <w:rPr>
                <w:rFonts w:hint="eastAsia" w:ascii="宋体" w:hAnsi="Calibri" w:eastAsia="宋体" w:cs="宋体"/>
                <w:kern w:val="0"/>
                <w:sz w:val="21"/>
                <w:szCs w:val="21"/>
                <w:lang w:val="en-US" w:eastAsia="zh-CN" w:bidi="ar-SA"/>
              </w:rPr>
            </w:pPr>
          </w:p>
        </w:tc>
        <w:tc>
          <w:tcPr>
            <w:tcW w:w="705" w:type="dxa"/>
            <w:noWrap/>
            <w:vAlign w:val="center"/>
          </w:tcPr>
          <w:p>
            <w:pPr>
              <w:widowControl/>
              <w:jc w:val="center"/>
              <w:rPr>
                <w:rFonts w:hint="eastAsia" w:ascii="宋体" w:hAnsi="Calibri" w:eastAsia="宋体" w:cs="宋体"/>
                <w:kern w:val="0"/>
                <w:sz w:val="21"/>
                <w:szCs w:val="21"/>
                <w:lang w:val="en-US" w:eastAsia="zh-CN" w:bidi="ar-SA"/>
              </w:rPr>
            </w:pPr>
            <w:r>
              <w:rPr>
                <w:rFonts w:hint="eastAsia" w:ascii="宋体" w:hAnsi="宋体" w:cs="宋体"/>
                <w:kern w:val="0"/>
                <w:lang w:bidi="ar"/>
              </w:rPr>
              <w:t>14*4</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60" w:hRule="atLeast"/>
        </w:trPr>
        <w:tc>
          <w:tcPr>
            <w:tcW w:w="426" w:type="dxa"/>
            <w:vMerge w:val="continue"/>
            <w:vAlign w:val="center"/>
          </w:tcPr>
          <w:p>
            <w:pPr>
              <w:widowControl/>
              <w:jc w:val="center"/>
              <w:rPr>
                <w:rFonts w:ascii="宋体" w:cs="宋体"/>
                <w:kern w:val="0"/>
                <w:szCs w:val="21"/>
              </w:rPr>
            </w:pPr>
          </w:p>
        </w:tc>
        <w:tc>
          <w:tcPr>
            <w:tcW w:w="2635" w:type="dxa"/>
            <w:gridSpan w:val="4"/>
            <w:vAlign w:val="center"/>
          </w:tcPr>
          <w:p>
            <w:pPr>
              <w:widowControl/>
              <w:jc w:val="center"/>
              <w:rPr>
                <w:rFonts w:hint="eastAsia" w:ascii="宋体" w:cs="宋体" w:hAnsiTheme="minorHAnsi" w:eastAsiaTheme="minorEastAsia"/>
                <w:kern w:val="0"/>
                <w:sz w:val="21"/>
                <w:szCs w:val="21"/>
                <w:lang w:val="en-US" w:eastAsia="zh-CN" w:bidi="ar-SA"/>
              </w:rPr>
            </w:pPr>
            <w:r>
              <w:rPr>
                <w:rFonts w:hint="eastAsia" w:ascii="宋体" w:cs="宋体"/>
                <w:b/>
                <w:bCs/>
                <w:kern w:val="0"/>
                <w:sz w:val="21"/>
                <w:szCs w:val="21"/>
                <w:lang w:val="en-US" w:eastAsia="zh-CN" w:bidi="ar-SA"/>
              </w:rPr>
              <w:t>小计</w:t>
            </w:r>
          </w:p>
        </w:tc>
        <w:tc>
          <w:tcPr>
            <w:tcW w:w="570" w:type="dxa"/>
            <w:noWrap/>
            <w:vAlign w:val="center"/>
          </w:tcPr>
          <w:p>
            <w:pPr>
              <w:widowControl/>
              <w:jc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b/>
                <w:bCs/>
                <w:color w:val="000000"/>
                <w:kern w:val="0"/>
                <w:sz w:val="22"/>
                <w:lang w:bidi="ar"/>
              </w:rPr>
              <w:t>164</w:t>
            </w:r>
          </w:p>
        </w:tc>
        <w:tc>
          <w:tcPr>
            <w:tcW w:w="668" w:type="dxa"/>
            <w:gridSpan w:val="3"/>
            <w:noWrap/>
            <w:vAlign w:val="center"/>
          </w:tcPr>
          <w:p>
            <w:pPr>
              <w:widowControl/>
              <w:jc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b/>
                <w:bCs/>
                <w:color w:val="000000"/>
                <w:kern w:val="0"/>
                <w:sz w:val="22"/>
                <w:lang w:bidi="ar"/>
              </w:rPr>
              <w:t>144</w:t>
            </w:r>
          </w:p>
        </w:tc>
        <w:tc>
          <w:tcPr>
            <w:tcW w:w="645" w:type="dxa"/>
            <w:noWrap/>
            <w:vAlign w:val="center"/>
          </w:tcPr>
          <w:p>
            <w:pPr>
              <w:widowControl/>
              <w:jc w:val="center"/>
              <w:rPr>
                <w:rFonts w:hint="eastAsia" w:ascii="宋体" w:hAnsi="宋体" w:eastAsia="宋体" w:cs="宋体"/>
                <w:i w:val="0"/>
                <w:color w:val="000000"/>
                <w:kern w:val="0"/>
                <w:sz w:val="22"/>
                <w:szCs w:val="22"/>
                <w:u w:val="none"/>
                <w:lang w:val="en-US" w:eastAsia="zh-CN" w:bidi="ar"/>
              </w:rPr>
            </w:pPr>
            <w:r>
              <w:rPr>
                <w:rFonts w:hint="eastAsia" w:ascii="宋体" w:hAnsi="宋体" w:cs="宋体"/>
                <w:b/>
                <w:bCs/>
                <w:color w:val="000000"/>
                <w:kern w:val="0"/>
                <w:sz w:val="22"/>
                <w:lang w:bidi="ar"/>
              </w:rPr>
              <w:t>308</w:t>
            </w:r>
          </w:p>
        </w:tc>
        <w:tc>
          <w:tcPr>
            <w:tcW w:w="840" w:type="dxa"/>
            <w:vAlign w:val="center"/>
          </w:tcPr>
          <w:p>
            <w:pPr>
              <w:widowControl/>
              <w:jc w:val="center"/>
              <w:rPr>
                <w:rFonts w:hint="eastAsia" w:ascii="宋体" w:hAnsi="宋体" w:eastAsia="宋体" w:cs="宋体"/>
                <w:i w:val="0"/>
                <w:color w:val="000000"/>
                <w:kern w:val="0"/>
                <w:sz w:val="20"/>
                <w:szCs w:val="20"/>
                <w:u w:val="none"/>
                <w:lang w:val="en-US" w:eastAsia="zh-CN" w:bidi="ar"/>
              </w:rPr>
            </w:pPr>
            <w:r>
              <w:rPr>
                <w:rFonts w:hint="eastAsia"/>
                <w:b/>
                <w:bCs/>
                <w:sz w:val="20"/>
                <w:szCs w:val="20"/>
                <w:lang w:bidi="ar"/>
              </w:rPr>
              <w:t>16.5</w:t>
            </w:r>
          </w:p>
        </w:tc>
        <w:tc>
          <w:tcPr>
            <w:tcW w:w="720" w:type="dxa"/>
            <w:noWrap/>
            <w:vAlign w:val="center"/>
          </w:tcPr>
          <w:p>
            <w:pPr>
              <w:jc w:val="center"/>
              <w:rPr>
                <w:rFonts w:hint="eastAsia" w:ascii="宋体" w:hAnsi="Calibri" w:eastAsia="宋体" w:cs="宋体"/>
                <w:kern w:val="0"/>
                <w:sz w:val="21"/>
                <w:szCs w:val="21"/>
                <w:lang w:val="en-US" w:eastAsia="zh-CN" w:bidi="ar-SA"/>
              </w:rPr>
            </w:pPr>
          </w:p>
        </w:tc>
        <w:tc>
          <w:tcPr>
            <w:tcW w:w="705" w:type="dxa"/>
            <w:noWrap/>
            <w:vAlign w:val="center"/>
          </w:tcPr>
          <w:p>
            <w:pPr>
              <w:adjustRightInd w:val="0"/>
              <w:snapToGrid w:val="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67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82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Calibri" w:eastAsia="宋体" w:cs="宋体"/>
                <w:kern w:val="0"/>
                <w:sz w:val="21"/>
                <w:szCs w:val="21"/>
                <w:lang w:val="en-US" w:eastAsia="zh-CN" w:bidi="ar-SA"/>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697"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restart"/>
            <w:vAlign w:val="center"/>
          </w:tcPr>
          <w:p>
            <w:pPr>
              <w:widowControl/>
              <w:jc w:val="center"/>
              <w:rPr>
                <w:rFonts w:ascii="宋体" w:hAnsi="宋体" w:cs="宋体"/>
                <w:kern w:val="0"/>
                <w:szCs w:val="21"/>
              </w:rPr>
            </w:pPr>
            <w:r>
              <w:rPr>
                <w:rFonts w:hint="eastAsia" w:ascii="宋体" w:hAnsi="宋体" w:cs="宋体"/>
                <w:kern w:val="0"/>
                <w:szCs w:val="21"/>
              </w:rPr>
              <w:t>专</w:t>
            </w:r>
          </w:p>
          <w:p>
            <w:pPr>
              <w:widowControl/>
              <w:jc w:val="center"/>
              <w:rPr>
                <w:rFonts w:ascii="宋体" w:hAnsi="宋体" w:cs="宋体"/>
                <w:kern w:val="0"/>
                <w:szCs w:val="21"/>
              </w:rPr>
            </w:pPr>
            <w:r>
              <w:rPr>
                <w:rFonts w:hint="eastAsia" w:ascii="宋体" w:hAnsi="宋体" w:cs="宋体"/>
                <w:kern w:val="0"/>
                <w:szCs w:val="21"/>
              </w:rPr>
              <w:t>业</w:t>
            </w:r>
          </w:p>
          <w:p>
            <w:pPr>
              <w:widowControl/>
              <w:jc w:val="center"/>
              <w:rPr>
                <w:rFonts w:ascii="宋体" w:hAnsi="宋体" w:cs="宋体"/>
                <w:kern w:val="0"/>
                <w:szCs w:val="21"/>
              </w:rPr>
            </w:pPr>
            <w:r>
              <w:rPr>
                <w:rFonts w:hint="eastAsia" w:ascii="宋体" w:hAnsi="宋体" w:cs="宋体"/>
                <w:kern w:val="0"/>
                <w:szCs w:val="21"/>
              </w:rPr>
              <w:t>核</w:t>
            </w:r>
          </w:p>
          <w:p>
            <w:pPr>
              <w:widowControl/>
              <w:jc w:val="center"/>
              <w:rPr>
                <w:rFonts w:ascii="宋体" w:hAnsi="宋体" w:cs="宋体"/>
                <w:kern w:val="0"/>
                <w:szCs w:val="21"/>
              </w:rPr>
            </w:pPr>
            <w:r>
              <w:rPr>
                <w:rFonts w:hint="eastAsia" w:ascii="宋体" w:hAnsi="宋体" w:cs="宋体"/>
                <w:kern w:val="0"/>
                <w:szCs w:val="21"/>
              </w:rPr>
              <w:t>心</w:t>
            </w:r>
          </w:p>
          <w:p>
            <w:pPr>
              <w:widowControl/>
              <w:jc w:val="center"/>
              <w:rPr>
                <w:rFonts w:ascii="宋体" w:hAnsi="宋体" w:cs="宋体" w:eastAsiaTheme="minorEastAsia"/>
                <w:kern w:val="0"/>
                <w:sz w:val="21"/>
                <w:szCs w:val="21"/>
                <w:lang w:val="en-US" w:eastAsia="zh-CN" w:bidi="ar-SA"/>
              </w:rPr>
            </w:pPr>
            <w:r>
              <w:rPr>
                <w:rFonts w:hint="eastAsia" w:ascii="宋体" w:hAnsi="宋体" w:cs="宋体"/>
                <w:kern w:val="0"/>
                <w:szCs w:val="21"/>
              </w:rPr>
              <w:t>课</w:t>
            </w:r>
          </w:p>
        </w:tc>
        <w:tc>
          <w:tcPr>
            <w:tcW w:w="446" w:type="dxa"/>
            <w:noWrap/>
            <w:vAlign w:val="center"/>
          </w:tcPr>
          <w:p>
            <w:pPr>
              <w:widowControl/>
              <w:jc w:val="center"/>
              <w:rPr>
                <w:rFonts w:ascii="宋体" w:cs="宋体"/>
                <w:kern w:val="0"/>
                <w:szCs w:val="21"/>
              </w:rPr>
            </w:pPr>
            <w:r>
              <w:rPr>
                <w:rFonts w:ascii="宋体" w:hAnsi="宋体" w:cs="宋体"/>
                <w:kern w:val="0"/>
                <w:szCs w:val="21"/>
              </w:rPr>
              <w:t>1</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地下建筑结构</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16</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56</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14*4</w:t>
            </w: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ascii="宋体" w:cs="宋体"/>
                <w:kern w:val="0"/>
                <w:szCs w:val="21"/>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ascii="宋体" w:cs="宋体"/>
                <w:kern w:val="0"/>
                <w:szCs w:val="21"/>
              </w:rPr>
            </w:pPr>
            <w:r>
              <w:rPr>
                <w:rFonts w:ascii="宋体" w:hAnsi="宋体" w:cs="宋体"/>
                <w:kern w:val="0"/>
                <w:szCs w:val="21"/>
              </w:rPr>
              <w:t>2</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工程地质与土力学基础</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16</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56</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14*4</w:t>
            </w: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ascii="宋体" w:cs="宋体"/>
                <w:kern w:val="0"/>
                <w:szCs w:val="21"/>
              </w:rPr>
            </w:pPr>
            <w:r>
              <w:rPr>
                <w:rFonts w:ascii="宋体" w:hAnsi="宋体" w:cs="宋体"/>
                <w:kern w:val="0"/>
                <w:szCs w:val="21"/>
              </w:rPr>
              <w:t>3</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地下工程施工组织与管理</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16</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56</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14*4</w:t>
            </w: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424"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hint="default" w:ascii="宋体" w:cs="宋体" w:hAnsiTheme="minorHAnsi" w:eastAsiaTheme="minorEastAsia"/>
                <w:kern w:val="0"/>
                <w:sz w:val="21"/>
                <w:szCs w:val="21"/>
                <w:lang w:val="en-US" w:eastAsia="zh-CN" w:bidi="ar-SA"/>
              </w:rPr>
            </w:pPr>
          </w:p>
        </w:tc>
        <w:tc>
          <w:tcPr>
            <w:tcW w:w="446" w:type="dxa"/>
            <w:noWrap/>
            <w:vAlign w:val="center"/>
          </w:tcPr>
          <w:p>
            <w:pPr>
              <w:widowControl/>
              <w:jc w:val="center"/>
              <w:rPr>
                <w:rFonts w:ascii="宋体" w:cs="宋体"/>
                <w:kern w:val="0"/>
                <w:szCs w:val="21"/>
              </w:rPr>
            </w:pPr>
            <w:r>
              <w:rPr>
                <w:rFonts w:ascii="宋体" w:hAnsi="宋体" w:cs="宋体"/>
                <w:kern w:val="0"/>
                <w:szCs w:val="21"/>
              </w:rPr>
              <w:t>4</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地下工程施工技术</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16</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56</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14*4</w:t>
            </w: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widowControl/>
              <w:jc w:val="center"/>
              <w:rPr>
                <w:rFonts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ascii="宋体" w:cs="宋体"/>
                <w:kern w:val="0"/>
                <w:szCs w:val="21"/>
              </w:rPr>
            </w:pPr>
            <w:r>
              <w:rPr>
                <w:rFonts w:ascii="宋体" w:hAnsi="宋体" w:cs="宋体"/>
                <w:kern w:val="0"/>
                <w:szCs w:val="21"/>
              </w:rPr>
              <w:t>5</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地下通风与空调</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12</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42</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2.5</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14*3</w:t>
            </w: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484"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ascii="宋体" w:cs="宋体"/>
                <w:kern w:val="0"/>
                <w:szCs w:val="21"/>
              </w:rPr>
            </w:pPr>
            <w:r>
              <w:rPr>
                <w:rFonts w:ascii="宋体" w:hAnsi="宋体" w:cs="宋体"/>
                <w:kern w:val="0"/>
                <w:szCs w:val="21"/>
              </w:rPr>
              <w:t>6</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隧道施工与检测技术</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16</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56</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14*4</w:t>
            </w: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widowControl/>
              <w:jc w:val="center"/>
              <w:rPr>
                <w:rFonts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ascii="宋体" w:cs="宋体"/>
                <w:kern w:val="0"/>
                <w:szCs w:val="21"/>
              </w:rPr>
            </w:pPr>
            <w:r>
              <w:rPr>
                <w:rFonts w:ascii="宋体" w:hAnsi="宋体" w:cs="宋体"/>
                <w:kern w:val="0"/>
                <w:szCs w:val="21"/>
              </w:rPr>
              <w:t>7</w:t>
            </w:r>
          </w:p>
        </w:tc>
        <w:tc>
          <w:tcPr>
            <w:tcW w:w="1763" w:type="dxa"/>
            <w:gridSpan w:val="2"/>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基础工程计量与计价</w:t>
            </w:r>
          </w:p>
        </w:tc>
        <w:tc>
          <w:tcPr>
            <w:tcW w:w="570"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40</w:t>
            </w:r>
          </w:p>
        </w:tc>
        <w:tc>
          <w:tcPr>
            <w:tcW w:w="668" w:type="dxa"/>
            <w:gridSpan w:val="3"/>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16</w:t>
            </w:r>
          </w:p>
        </w:tc>
        <w:tc>
          <w:tcPr>
            <w:tcW w:w="645" w:type="dxa"/>
            <w:noWrap/>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56</w:t>
            </w:r>
          </w:p>
        </w:tc>
        <w:tc>
          <w:tcPr>
            <w:tcW w:w="840" w:type="dxa"/>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3</w:t>
            </w: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05"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20" w:type="dxa"/>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p>
        </w:tc>
        <w:tc>
          <w:tcPr>
            <w:tcW w:w="765"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1"/>
                <w:szCs w:val="22"/>
                <w:lang w:val="en-US" w:eastAsia="zh-CN" w:bidi="ar"/>
              </w:rPr>
            </w:pPr>
            <w:r>
              <w:rPr>
                <w:rFonts w:hint="eastAsia" w:ascii="宋体" w:hAnsi="宋体" w:eastAsia="宋体" w:cs="宋体"/>
                <w:kern w:val="0"/>
                <w:sz w:val="21"/>
                <w:szCs w:val="22"/>
                <w:lang w:val="en-US" w:eastAsia="zh-CN" w:bidi="ar"/>
              </w:rPr>
              <w:t>14*4</w:t>
            </w: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keepNext w:val="0"/>
              <w:keepLines w:val="0"/>
              <w:widowControl/>
              <w:suppressLineNumbers w:val="0"/>
              <w:spacing w:before="0" w:beforeAutospacing="0" w:after="0" w:afterAutospacing="0"/>
              <w:ind w:left="0" w:leftChars="0" w:right="0" w:rightChars="0"/>
              <w:jc w:val="center"/>
              <w:rPr>
                <w:rFonts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期末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ascii="宋体" w:cs="宋体"/>
                <w:kern w:val="0"/>
                <w:szCs w:val="21"/>
              </w:rPr>
            </w:pPr>
            <w:r>
              <w:rPr>
                <w:rFonts w:ascii="宋体" w:hAnsi="宋体" w:cs="宋体"/>
                <w:kern w:val="0"/>
                <w:szCs w:val="21"/>
              </w:rPr>
              <w:t>8</w:t>
            </w:r>
          </w:p>
        </w:tc>
        <w:tc>
          <w:tcPr>
            <w:tcW w:w="1763" w:type="dxa"/>
            <w:gridSpan w:val="2"/>
            <w:vAlign w:val="center"/>
          </w:tcPr>
          <w:p>
            <w:pPr>
              <w:jc w:val="center"/>
              <w:rPr>
                <w:rFonts w:hint="eastAsia"/>
                <w:lang w:val="en-US" w:eastAsia="zh-CN"/>
              </w:rPr>
            </w:pPr>
            <w:r>
              <w:rPr>
                <w:rFonts w:hint="eastAsia"/>
                <w:lang w:eastAsia="zh-CN"/>
              </w:rPr>
              <w:t>工程招投标与合同管理</w:t>
            </w:r>
          </w:p>
        </w:tc>
        <w:tc>
          <w:tcPr>
            <w:tcW w:w="570" w:type="dxa"/>
            <w:noWrap/>
            <w:vAlign w:val="center"/>
          </w:tcPr>
          <w:p>
            <w:pPr>
              <w:jc w:val="center"/>
              <w:rPr>
                <w:rFonts w:hint="default"/>
                <w:lang w:val="en-US" w:eastAsia="zh-CN"/>
              </w:rPr>
            </w:pPr>
            <w:r>
              <w:rPr>
                <w:rFonts w:hint="eastAsia"/>
                <w:lang w:val="en-US" w:eastAsia="zh-CN"/>
              </w:rPr>
              <w:t>30</w:t>
            </w:r>
          </w:p>
        </w:tc>
        <w:tc>
          <w:tcPr>
            <w:tcW w:w="668" w:type="dxa"/>
            <w:gridSpan w:val="3"/>
            <w:noWrap/>
            <w:vAlign w:val="center"/>
          </w:tcPr>
          <w:p>
            <w:pPr>
              <w:jc w:val="center"/>
              <w:rPr>
                <w:rFonts w:hint="default"/>
                <w:lang w:val="en-US" w:eastAsia="zh-CN"/>
              </w:rPr>
            </w:pPr>
            <w:r>
              <w:rPr>
                <w:rFonts w:hint="eastAsia"/>
                <w:lang w:val="en-US" w:eastAsia="zh-CN"/>
              </w:rPr>
              <w:t>12</w:t>
            </w:r>
          </w:p>
        </w:tc>
        <w:tc>
          <w:tcPr>
            <w:tcW w:w="645" w:type="dxa"/>
            <w:noWrap/>
            <w:vAlign w:val="center"/>
          </w:tcPr>
          <w:p>
            <w:pPr>
              <w:jc w:val="center"/>
              <w:rPr>
                <w:rFonts w:hint="default"/>
                <w:lang w:val="en-US" w:eastAsia="zh-CN"/>
              </w:rPr>
            </w:pPr>
            <w:r>
              <w:rPr>
                <w:rFonts w:hint="eastAsia"/>
                <w:lang w:val="en-US" w:eastAsia="zh-CN"/>
              </w:rPr>
              <w:t>42</w:t>
            </w:r>
          </w:p>
        </w:tc>
        <w:tc>
          <w:tcPr>
            <w:tcW w:w="840" w:type="dxa"/>
            <w:vAlign w:val="center"/>
          </w:tcPr>
          <w:p>
            <w:pPr>
              <w:jc w:val="center"/>
              <w:rPr>
                <w:rFonts w:hint="eastAsia"/>
                <w:lang w:val="en-US" w:eastAsia="zh-CN"/>
              </w:rPr>
            </w:pPr>
            <w:r>
              <w:rPr>
                <w:rFonts w:hint="eastAsia"/>
                <w:lang w:val="en-US" w:eastAsia="zh-CN"/>
              </w:rPr>
              <w:t>2.5</w:t>
            </w:r>
          </w:p>
        </w:tc>
        <w:tc>
          <w:tcPr>
            <w:tcW w:w="720" w:type="dxa"/>
            <w:noWrap/>
            <w:vAlign w:val="center"/>
          </w:tcPr>
          <w:p>
            <w:pPr>
              <w:jc w:val="center"/>
              <w:rPr>
                <w:rFonts w:hint="eastAsia"/>
              </w:rPr>
            </w:pPr>
          </w:p>
        </w:tc>
        <w:tc>
          <w:tcPr>
            <w:tcW w:w="705" w:type="dxa"/>
            <w:noWrap/>
            <w:vAlign w:val="center"/>
          </w:tcPr>
          <w:p>
            <w:pPr>
              <w:jc w:val="center"/>
              <w:rPr>
                <w:rFonts w:hint="eastAsia"/>
              </w:rPr>
            </w:pPr>
          </w:p>
        </w:tc>
        <w:tc>
          <w:tcPr>
            <w:tcW w:w="720" w:type="dxa"/>
            <w:noWrap/>
            <w:vAlign w:val="center"/>
          </w:tcPr>
          <w:p>
            <w:pPr>
              <w:jc w:val="center"/>
              <w:rPr>
                <w:rFonts w:hint="eastAsia"/>
              </w:rPr>
            </w:pPr>
          </w:p>
        </w:tc>
        <w:tc>
          <w:tcPr>
            <w:tcW w:w="765" w:type="dxa"/>
            <w:gridSpan w:val="2"/>
            <w:noWrap/>
            <w:vAlign w:val="center"/>
          </w:tcPr>
          <w:p>
            <w:pPr>
              <w:jc w:val="center"/>
              <w:rPr>
                <w:rFonts w:hint="eastAsia"/>
                <w:lang w:val="en-US" w:eastAsia="zh-CN"/>
              </w:rPr>
            </w:pPr>
            <w:r>
              <w:rPr>
                <w:rFonts w:hint="eastAsia"/>
                <w:lang w:val="en-US" w:eastAsia="zh-CN"/>
              </w:rPr>
              <w:t>14*3</w:t>
            </w: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widowControl/>
              <w:jc w:val="center"/>
              <w:rPr>
                <w:rFonts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widowControl/>
              <w:jc w:val="center"/>
              <w:rPr>
                <w:rFonts w:ascii="宋体" w:cs="宋体"/>
                <w:kern w:val="0"/>
                <w:szCs w:val="21"/>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widowControl/>
              <w:jc w:val="center"/>
              <w:rPr>
                <w:rFonts w:ascii="宋体" w:cs="宋体"/>
                <w:kern w:val="0"/>
                <w:szCs w:val="21"/>
              </w:rPr>
            </w:pPr>
          </w:p>
        </w:tc>
        <w:tc>
          <w:tcPr>
            <w:tcW w:w="426" w:type="dxa"/>
            <w:vMerge w:val="continue"/>
            <w:vAlign w:val="center"/>
          </w:tcPr>
          <w:p>
            <w:pPr>
              <w:widowControl/>
              <w:jc w:val="center"/>
              <w:rPr>
                <w:rFonts w:ascii="宋体" w:cs="宋体"/>
                <w:kern w:val="0"/>
                <w:szCs w:val="21"/>
              </w:rPr>
            </w:pPr>
          </w:p>
        </w:tc>
        <w:tc>
          <w:tcPr>
            <w:tcW w:w="446" w:type="dxa"/>
            <w:noWrap/>
            <w:vAlign w:val="center"/>
          </w:tcPr>
          <w:p>
            <w:pPr>
              <w:widowControl/>
              <w:jc w:val="center"/>
              <w:rPr>
                <w:rFonts w:hint="eastAsia" w:ascii="宋体" w:hAnsi="宋体" w:cs="宋体" w:eastAsiaTheme="minorEastAsia"/>
                <w:kern w:val="0"/>
                <w:szCs w:val="21"/>
                <w:lang w:val="en-US" w:eastAsia="zh-CN"/>
              </w:rPr>
            </w:pPr>
            <w:r>
              <w:rPr>
                <w:rFonts w:hint="eastAsia" w:ascii="宋体" w:hAnsi="宋体" w:cs="宋体"/>
                <w:kern w:val="0"/>
                <w:szCs w:val="21"/>
                <w:lang w:val="en-US" w:eastAsia="zh-CN"/>
              </w:rPr>
              <w:t>9</w:t>
            </w:r>
          </w:p>
        </w:tc>
        <w:tc>
          <w:tcPr>
            <w:tcW w:w="1763" w:type="dxa"/>
            <w:gridSpan w:val="2"/>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eastAsia="zh-CN"/>
              </w:rPr>
              <w:t>岩土工程勘察</w:t>
            </w:r>
          </w:p>
        </w:tc>
        <w:tc>
          <w:tcPr>
            <w:tcW w:w="570" w:type="dxa"/>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40</w:t>
            </w:r>
          </w:p>
        </w:tc>
        <w:tc>
          <w:tcPr>
            <w:tcW w:w="668" w:type="dxa"/>
            <w:gridSpan w:val="3"/>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16</w:t>
            </w:r>
          </w:p>
        </w:tc>
        <w:tc>
          <w:tcPr>
            <w:tcW w:w="645" w:type="dxa"/>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56</w:t>
            </w:r>
          </w:p>
        </w:tc>
        <w:tc>
          <w:tcPr>
            <w:tcW w:w="840" w:type="dxa"/>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3</w:t>
            </w:r>
          </w:p>
        </w:tc>
        <w:tc>
          <w:tcPr>
            <w:tcW w:w="720" w:type="dxa"/>
            <w:noWrap/>
            <w:vAlign w:val="center"/>
          </w:tcPr>
          <w:p>
            <w:pPr>
              <w:jc w:val="center"/>
              <w:rPr>
                <w:rFonts w:hint="eastAsia" w:asciiTheme="minorHAnsi" w:hAnsiTheme="minorHAnsi" w:eastAsiaTheme="minorEastAsia" w:cstheme="minorBidi"/>
                <w:kern w:val="2"/>
                <w:sz w:val="21"/>
                <w:szCs w:val="22"/>
                <w:lang w:val="en-US" w:eastAsia="zh-CN" w:bidi="ar-SA"/>
              </w:rPr>
            </w:pPr>
          </w:p>
        </w:tc>
        <w:tc>
          <w:tcPr>
            <w:tcW w:w="705" w:type="dxa"/>
            <w:noWrap/>
            <w:vAlign w:val="center"/>
          </w:tcPr>
          <w:p>
            <w:pPr>
              <w:jc w:val="center"/>
              <w:rPr>
                <w:rFonts w:hint="eastAsia" w:asciiTheme="minorHAnsi" w:hAnsiTheme="minorHAnsi" w:eastAsiaTheme="minorEastAsia" w:cstheme="minorBidi"/>
                <w:kern w:val="2"/>
                <w:sz w:val="21"/>
                <w:szCs w:val="22"/>
                <w:lang w:val="en-US" w:eastAsia="zh-CN" w:bidi="ar-SA"/>
              </w:rPr>
            </w:pPr>
          </w:p>
        </w:tc>
        <w:tc>
          <w:tcPr>
            <w:tcW w:w="720" w:type="dxa"/>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14*4</w:t>
            </w:r>
          </w:p>
        </w:tc>
        <w:tc>
          <w:tcPr>
            <w:tcW w:w="765" w:type="dxa"/>
            <w:gridSpan w:val="2"/>
            <w:noWrap/>
            <w:vAlign w:val="center"/>
          </w:tcPr>
          <w:p>
            <w:pPr>
              <w:jc w:val="center"/>
              <w:rPr>
                <w:rFonts w:hint="eastAsia"/>
                <w:lang w:val="en-US" w:eastAsia="zh-CN"/>
              </w:rPr>
            </w:pPr>
            <w:r>
              <w:rPr>
                <w:rFonts w:hint="eastAsia"/>
                <w:lang w:val="en-US" w:eastAsia="zh-CN"/>
              </w:rPr>
              <w:t>14*4</w:t>
            </w:r>
          </w:p>
        </w:tc>
        <w:tc>
          <w:tcPr>
            <w:tcW w:w="675" w:type="dxa"/>
            <w:gridSpan w:val="2"/>
            <w:noWrap/>
            <w:vAlign w:val="center"/>
          </w:tcPr>
          <w:p>
            <w:pPr>
              <w:widowControl/>
              <w:jc w:val="center"/>
              <w:rPr>
                <w:rFonts w:ascii="宋体" w:cs="宋体"/>
                <w:kern w:val="0"/>
                <w:szCs w:val="21"/>
              </w:rPr>
            </w:pPr>
          </w:p>
        </w:tc>
        <w:tc>
          <w:tcPr>
            <w:tcW w:w="825" w:type="dxa"/>
            <w:gridSpan w:val="2"/>
            <w:noWrap/>
            <w:vAlign w:val="center"/>
          </w:tcPr>
          <w:p>
            <w:pPr>
              <w:widowControl/>
              <w:jc w:val="center"/>
              <w:rPr>
                <w:rFonts w:ascii="宋体" w:cs="宋体"/>
                <w:kern w:val="0"/>
                <w:szCs w:val="21"/>
              </w:rPr>
            </w:pPr>
          </w:p>
        </w:tc>
        <w:tc>
          <w:tcPr>
            <w:tcW w:w="1200" w:type="dxa"/>
            <w:gridSpan w:val="2"/>
            <w:noWrap/>
            <w:vAlign w:val="center"/>
          </w:tcPr>
          <w:p>
            <w:pPr>
              <w:widowControl/>
              <w:jc w:val="center"/>
              <w:rPr>
                <w:rFonts w:hint="eastAsia" w:ascii="宋体" w:hAnsi="宋体" w:eastAsia="宋体" w:cs="宋体"/>
                <w:kern w:val="0"/>
                <w:sz w:val="21"/>
                <w:szCs w:val="22"/>
                <w:lang w:val="en-US" w:eastAsia="zh-CN" w:bidi="ar"/>
              </w:rPr>
            </w:pPr>
          </w:p>
        </w:tc>
        <w:tc>
          <w:tcPr>
            <w:tcW w:w="697" w:type="dxa"/>
            <w:noWrap/>
            <w:vAlign w:val="center"/>
          </w:tcPr>
          <w:p>
            <w:pPr>
              <w:widowControl/>
              <w:jc w:val="center"/>
              <w:rPr>
                <w:rFonts w:hint="eastAsia" w:ascii="宋体" w:hAnsi="宋体" w:eastAsia="宋体" w:cs="宋体"/>
                <w:kern w:val="0"/>
                <w:sz w:val="21"/>
                <w:szCs w:val="22"/>
                <w:lang w:val="en-US" w:eastAsia="zh-CN" w:bidi="ar"/>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default"/>
                <w:lang w:val="en-US" w:eastAsia="zh-CN"/>
              </w:rPr>
            </w:pPr>
            <w:r>
              <w:rPr>
                <w:rFonts w:hint="eastAsia"/>
                <w:lang w:val="en-US" w:eastAsia="zh-CN"/>
              </w:rPr>
              <w:t>10</w:t>
            </w:r>
          </w:p>
        </w:tc>
        <w:tc>
          <w:tcPr>
            <w:tcW w:w="1763" w:type="dxa"/>
            <w:gridSpan w:val="2"/>
            <w:vAlign w:val="center"/>
          </w:tcPr>
          <w:p>
            <w:pPr>
              <w:jc w:val="center"/>
              <w:rPr>
                <w:rFonts w:hint="eastAsia"/>
                <w:lang w:val="en-US" w:eastAsia="zh-CN"/>
              </w:rPr>
            </w:pPr>
            <w:r>
              <w:rPr>
                <w:rFonts w:hint="eastAsia"/>
                <w:lang w:val="en-US" w:eastAsia="zh-CN"/>
              </w:rPr>
              <w:t>BIM技术应用</w:t>
            </w:r>
          </w:p>
        </w:tc>
        <w:tc>
          <w:tcPr>
            <w:tcW w:w="570" w:type="dxa"/>
            <w:noWrap/>
            <w:vAlign w:val="center"/>
          </w:tcPr>
          <w:p>
            <w:pPr>
              <w:jc w:val="center"/>
              <w:rPr>
                <w:rFonts w:hint="eastAsia"/>
                <w:lang w:val="en-US" w:eastAsia="zh-CN"/>
              </w:rPr>
            </w:pPr>
            <w:r>
              <w:rPr>
                <w:rFonts w:hint="eastAsia"/>
                <w:lang w:val="en-US" w:eastAsia="zh-CN"/>
              </w:rPr>
              <w:t>0</w:t>
            </w:r>
          </w:p>
        </w:tc>
        <w:tc>
          <w:tcPr>
            <w:tcW w:w="668" w:type="dxa"/>
            <w:gridSpan w:val="3"/>
            <w:noWrap/>
            <w:vAlign w:val="center"/>
          </w:tcPr>
          <w:p>
            <w:pPr>
              <w:jc w:val="center"/>
              <w:rPr>
                <w:rFonts w:hint="default"/>
                <w:lang w:val="en-US" w:eastAsia="zh-CN"/>
              </w:rPr>
            </w:pPr>
            <w:r>
              <w:rPr>
                <w:rFonts w:hint="eastAsia"/>
                <w:lang w:val="en-US" w:eastAsia="zh-CN"/>
              </w:rPr>
              <w:t>56</w:t>
            </w:r>
          </w:p>
        </w:tc>
        <w:tc>
          <w:tcPr>
            <w:tcW w:w="645" w:type="dxa"/>
            <w:noWrap/>
            <w:vAlign w:val="center"/>
          </w:tcPr>
          <w:p>
            <w:pPr>
              <w:jc w:val="center"/>
              <w:rPr>
                <w:rFonts w:hint="default"/>
                <w:lang w:val="en-US" w:eastAsia="zh-CN"/>
              </w:rPr>
            </w:pPr>
            <w:r>
              <w:rPr>
                <w:rFonts w:hint="eastAsia"/>
                <w:lang w:val="en-US" w:eastAsia="zh-CN"/>
              </w:rPr>
              <w:t>56</w:t>
            </w:r>
          </w:p>
        </w:tc>
        <w:tc>
          <w:tcPr>
            <w:tcW w:w="840" w:type="dxa"/>
            <w:vAlign w:val="center"/>
          </w:tcPr>
          <w:p>
            <w:pPr>
              <w:jc w:val="center"/>
              <w:rPr>
                <w:rFonts w:hint="default"/>
                <w:lang w:val="en-US" w:eastAsia="zh-CN"/>
              </w:rPr>
            </w:pPr>
            <w:r>
              <w:rPr>
                <w:rFonts w:hint="eastAsia"/>
                <w:lang w:val="en-US" w:eastAsia="zh-CN"/>
              </w:rPr>
              <w:t>2.5</w:t>
            </w:r>
          </w:p>
        </w:tc>
        <w:tc>
          <w:tcPr>
            <w:tcW w:w="720" w:type="dxa"/>
            <w:noWrap/>
            <w:vAlign w:val="center"/>
          </w:tcPr>
          <w:p>
            <w:pPr>
              <w:jc w:val="center"/>
              <w:rPr>
                <w:rFonts w:hint="eastAsia"/>
                <w:lang w:eastAsia="zh-CN"/>
              </w:rPr>
            </w:pPr>
          </w:p>
        </w:tc>
        <w:tc>
          <w:tcPr>
            <w:tcW w:w="705" w:type="dxa"/>
            <w:noWrap/>
            <w:vAlign w:val="center"/>
          </w:tcPr>
          <w:p>
            <w:pPr>
              <w:jc w:val="center"/>
              <w:rPr>
                <w:rFonts w:hint="eastAsia"/>
                <w:lang w:eastAsia="zh-CN"/>
              </w:rPr>
            </w:pPr>
          </w:p>
        </w:tc>
        <w:tc>
          <w:tcPr>
            <w:tcW w:w="720" w:type="dxa"/>
            <w:noWrap/>
            <w:vAlign w:val="center"/>
          </w:tcPr>
          <w:p>
            <w:pPr>
              <w:jc w:val="center"/>
              <w:rPr>
                <w:rFonts w:hint="eastAsia"/>
                <w:lang w:eastAsia="zh-CN"/>
              </w:rPr>
            </w:pPr>
          </w:p>
        </w:tc>
        <w:tc>
          <w:tcPr>
            <w:tcW w:w="765" w:type="dxa"/>
            <w:gridSpan w:val="2"/>
            <w:noWrap/>
            <w:vAlign w:val="center"/>
          </w:tcPr>
          <w:p>
            <w:pPr>
              <w:jc w:val="center"/>
              <w:rPr>
                <w:rFonts w:hint="eastAsia"/>
                <w:lang w:eastAsia="zh-CN"/>
              </w:rPr>
            </w:pPr>
            <w:r>
              <w:rPr>
                <w:rFonts w:hint="eastAsia"/>
                <w:lang w:val="en-US" w:eastAsia="zh-CN"/>
              </w:rPr>
              <w:t>14*4</w:t>
            </w: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widowControl/>
              <w:jc w:val="center"/>
              <w:rPr>
                <w:rFonts w:hint="eastAsia" w:ascii="宋体" w:cs="宋体" w:hAnsiTheme="minorHAnsi" w:eastAsiaTheme="minorEastAsia"/>
                <w:kern w:val="0"/>
                <w:sz w:val="21"/>
                <w:szCs w:val="21"/>
                <w:lang w:val="en-US" w:eastAsia="zh-CN" w:bidi="ar-SA"/>
              </w:rPr>
            </w:pPr>
            <w:r>
              <w:rPr>
                <w:rFonts w:hint="eastAsia" w:ascii="宋体" w:hAnsi="宋体" w:eastAsia="宋体" w:cs="宋体"/>
                <w:kern w:val="0"/>
                <w:sz w:val="21"/>
                <w:szCs w:val="22"/>
                <w:lang w:val="en-US" w:eastAsia="zh-CN" w:bidi="ar"/>
              </w:rPr>
              <w:t>笔试</w:t>
            </w:r>
          </w:p>
        </w:tc>
        <w:tc>
          <w:tcPr>
            <w:tcW w:w="697" w:type="dxa"/>
            <w:noWrap/>
            <w:vAlign w:val="center"/>
          </w:tcPr>
          <w:p>
            <w:pPr>
              <w:jc w:val="center"/>
              <w:rPr>
                <w:rFonts w:hint="eastAsia"/>
                <w:lang w:eastAsia="zh-CN"/>
              </w:rPr>
            </w:pPr>
            <w:r>
              <w:rPr>
                <w:rFonts w:hint="eastAsia" w:ascii="宋体" w:hAnsi="宋体" w:eastAsia="宋体" w:cs="宋体"/>
                <w:kern w:val="0"/>
                <w:sz w:val="21"/>
                <w:szCs w:val="22"/>
                <w:lang w:val="en-US" w:eastAsia="zh-CN" w:bidi="ar"/>
              </w:rPr>
              <w:t>随堂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jc w:val="center"/>
              <w:rPr>
                <w:rFonts w:hint="eastAsia"/>
                <w:lang w:eastAsia="zh-CN"/>
              </w:rPr>
            </w:pPr>
          </w:p>
        </w:tc>
        <w:tc>
          <w:tcPr>
            <w:tcW w:w="426" w:type="dxa"/>
            <w:vAlign w:val="center"/>
          </w:tcPr>
          <w:p>
            <w:pPr>
              <w:jc w:val="center"/>
              <w:rPr>
                <w:rFonts w:hint="eastAsia"/>
                <w:lang w:eastAsia="zh-CN"/>
              </w:rPr>
            </w:pPr>
          </w:p>
        </w:tc>
        <w:tc>
          <w:tcPr>
            <w:tcW w:w="446" w:type="dxa"/>
            <w:noWrap/>
            <w:vAlign w:val="center"/>
          </w:tcPr>
          <w:p>
            <w:pPr>
              <w:jc w:val="center"/>
              <w:rPr>
                <w:rFonts w:hint="eastAsia"/>
                <w:lang w:val="en-US" w:eastAsia="zh-CN"/>
              </w:rPr>
            </w:pPr>
          </w:p>
        </w:tc>
        <w:tc>
          <w:tcPr>
            <w:tcW w:w="1763" w:type="dxa"/>
            <w:gridSpan w:val="2"/>
            <w:vAlign w:val="center"/>
          </w:tcPr>
          <w:p>
            <w:pPr>
              <w:jc w:val="center"/>
              <w:rPr>
                <w:rFonts w:hint="eastAsia"/>
                <w:b/>
                <w:bCs/>
                <w:lang w:eastAsia="zh-CN"/>
              </w:rPr>
            </w:pPr>
            <w:r>
              <w:rPr>
                <w:rFonts w:hint="eastAsia"/>
                <w:b/>
                <w:bCs/>
                <w:lang w:eastAsia="zh-CN"/>
              </w:rPr>
              <w:t>小计</w:t>
            </w:r>
          </w:p>
        </w:tc>
        <w:tc>
          <w:tcPr>
            <w:tcW w:w="570" w:type="dxa"/>
            <w:noWrap/>
            <w:vAlign w:val="center"/>
          </w:tcPr>
          <w:p>
            <w:pPr>
              <w:jc w:val="center"/>
              <w:rPr>
                <w:rFonts w:hint="default"/>
                <w:b/>
                <w:bCs/>
                <w:lang w:val="en-US" w:eastAsia="zh-CN"/>
              </w:rPr>
            </w:pPr>
            <w:r>
              <w:rPr>
                <w:rFonts w:hint="eastAsia"/>
                <w:b/>
                <w:bCs/>
                <w:lang w:val="en-US" w:eastAsia="zh-CN"/>
              </w:rPr>
              <w:t>340</w:t>
            </w:r>
          </w:p>
        </w:tc>
        <w:tc>
          <w:tcPr>
            <w:tcW w:w="668" w:type="dxa"/>
            <w:gridSpan w:val="3"/>
            <w:noWrap/>
            <w:vAlign w:val="center"/>
          </w:tcPr>
          <w:p>
            <w:pPr>
              <w:jc w:val="center"/>
              <w:rPr>
                <w:rFonts w:hint="default"/>
                <w:b/>
                <w:bCs/>
                <w:lang w:val="en-US" w:eastAsia="zh-CN"/>
              </w:rPr>
            </w:pPr>
            <w:r>
              <w:rPr>
                <w:rFonts w:hint="eastAsia"/>
                <w:b/>
                <w:bCs/>
                <w:lang w:val="en-US" w:eastAsia="zh-CN"/>
              </w:rPr>
              <w:t>192</w:t>
            </w:r>
          </w:p>
        </w:tc>
        <w:tc>
          <w:tcPr>
            <w:tcW w:w="645" w:type="dxa"/>
            <w:noWrap/>
            <w:vAlign w:val="center"/>
          </w:tcPr>
          <w:p>
            <w:pPr>
              <w:jc w:val="center"/>
              <w:rPr>
                <w:rFonts w:hint="default"/>
                <w:b/>
                <w:bCs/>
                <w:lang w:val="en-US" w:eastAsia="zh-CN"/>
              </w:rPr>
            </w:pPr>
            <w:r>
              <w:rPr>
                <w:rFonts w:hint="eastAsia"/>
                <w:b/>
                <w:bCs/>
                <w:lang w:val="en-US" w:eastAsia="zh-CN"/>
              </w:rPr>
              <w:t>532</w:t>
            </w:r>
          </w:p>
        </w:tc>
        <w:tc>
          <w:tcPr>
            <w:tcW w:w="840" w:type="dxa"/>
            <w:vAlign w:val="center"/>
          </w:tcPr>
          <w:p>
            <w:pPr>
              <w:jc w:val="center"/>
              <w:rPr>
                <w:rFonts w:hint="default"/>
                <w:b/>
                <w:bCs/>
                <w:lang w:val="en-US" w:eastAsia="zh-CN"/>
              </w:rPr>
            </w:pPr>
            <w:r>
              <w:rPr>
                <w:rFonts w:hint="eastAsia"/>
                <w:b/>
                <w:bCs/>
                <w:lang w:val="en-US" w:eastAsia="zh-CN"/>
              </w:rPr>
              <w:t>28.5</w:t>
            </w:r>
          </w:p>
        </w:tc>
        <w:tc>
          <w:tcPr>
            <w:tcW w:w="720" w:type="dxa"/>
            <w:noWrap/>
            <w:vAlign w:val="center"/>
          </w:tcPr>
          <w:p>
            <w:pPr>
              <w:jc w:val="center"/>
              <w:rPr>
                <w:rFonts w:hint="eastAsia"/>
                <w:lang w:eastAsia="zh-CN"/>
              </w:rPr>
            </w:pPr>
          </w:p>
        </w:tc>
        <w:tc>
          <w:tcPr>
            <w:tcW w:w="705" w:type="dxa"/>
            <w:noWrap/>
            <w:vAlign w:val="center"/>
          </w:tcPr>
          <w:p>
            <w:pPr>
              <w:jc w:val="center"/>
              <w:rPr>
                <w:rFonts w:hint="eastAsia"/>
                <w:lang w:eastAsia="zh-CN"/>
              </w:rPr>
            </w:pPr>
          </w:p>
        </w:tc>
        <w:tc>
          <w:tcPr>
            <w:tcW w:w="720" w:type="dxa"/>
            <w:noWrap/>
            <w:vAlign w:val="center"/>
          </w:tcPr>
          <w:p>
            <w:pPr>
              <w:jc w:val="center"/>
              <w:rPr>
                <w:rFonts w:hint="eastAsia"/>
                <w:lang w:eastAsia="zh-CN"/>
              </w:rPr>
            </w:pPr>
          </w:p>
        </w:tc>
        <w:tc>
          <w:tcPr>
            <w:tcW w:w="765" w:type="dxa"/>
            <w:gridSpan w:val="2"/>
            <w:noWrap/>
            <w:vAlign w:val="center"/>
          </w:tcPr>
          <w:p>
            <w:pPr>
              <w:jc w:val="center"/>
              <w:rPr>
                <w:rFonts w:hint="eastAsia"/>
                <w:lang w:eastAsia="zh-CN"/>
              </w:rPr>
            </w:pP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lang w:eastAsia="zh-CN"/>
              </w:rPr>
            </w:pPr>
          </w:p>
        </w:tc>
        <w:tc>
          <w:tcPr>
            <w:tcW w:w="697" w:type="dxa"/>
            <w:noWrap/>
            <w:vAlign w:val="center"/>
          </w:tcPr>
          <w:p>
            <w:pPr>
              <w:jc w:val="center"/>
              <w:rPr>
                <w:rFonts w:hint="eastAsia"/>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583" w:hRule="atLeast"/>
        </w:trPr>
        <w:tc>
          <w:tcPr>
            <w:tcW w:w="426" w:type="dxa"/>
            <w:vMerge w:val="continue"/>
            <w:vAlign w:val="center"/>
          </w:tcPr>
          <w:p>
            <w:pPr>
              <w:jc w:val="center"/>
              <w:rPr>
                <w:rFonts w:hint="eastAsia"/>
                <w:lang w:eastAsia="zh-CN"/>
              </w:rPr>
            </w:pPr>
          </w:p>
        </w:tc>
        <w:tc>
          <w:tcPr>
            <w:tcW w:w="426" w:type="dxa"/>
            <w:vMerge w:val="restart"/>
            <w:vAlign w:val="center"/>
          </w:tcPr>
          <w:p>
            <w:pPr>
              <w:jc w:val="center"/>
              <w:rPr>
                <w:rFonts w:hint="eastAsia"/>
                <w:lang w:eastAsia="zh-CN"/>
              </w:rPr>
            </w:pPr>
            <w:r>
              <w:rPr>
                <w:rFonts w:hint="eastAsia"/>
                <w:lang w:eastAsia="zh-CN"/>
              </w:rPr>
              <w:t>职业技能训练</w:t>
            </w:r>
          </w:p>
        </w:tc>
        <w:tc>
          <w:tcPr>
            <w:tcW w:w="446" w:type="dxa"/>
            <w:noWrap/>
            <w:vAlign w:val="center"/>
          </w:tcPr>
          <w:p>
            <w:pPr>
              <w:jc w:val="center"/>
              <w:rPr>
                <w:rFonts w:hint="eastAsia"/>
                <w:lang w:eastAsia="zh-CN"/>
              </w:rPr>
            </w:pPr>
            <w:r>
              <w:rPr>
                <w:rFonts w:hint="eastAsia"/>
                <w:lang w:eastAsia="zh-CN"/>
              </w:rPr>
              <w:t>1</w:t>
            </w:r>
          </w:p>
        </w:tc>
        <w:tc>
          <w:tcPr>
            <w:tcW w:w="1763" w:type="dxa"/>
            <w:gridSpan w:val="2"/>
            <w:vAlign w:val="center"/>
          </w:tcPr>
          <w:p>
            <w:pPr>
              <w:jc w:val="center"/>
              <w:rPr>
                <w:rFonts w:hint="eastAsia"/>
                <w:lang w:val="en-US" w:eastAsia="zh-CN"/>
              </w:rPr>
            </w:pPr>
            <w:r>
              <w:rPr>
                <w:rFonts w:hint="eastAsia"/>
                <w:lang w:val="en-US" w:eastAsia="zh-CN"/>
              </w:rPr>
              <w:t>房屋建筑与CAD课程设计</w:t>
            </w:r>
          </w:p>
        </w:tc>
        <w:tc>
          <w:tcPr>
            <w:tcW w:w="570" w:type="dxa"/>
            <w:noWrap/>
            <w:vAlign w:val="center"/>
          </w:tcPr>
          <w:p>
            <w:pPr>
              <w:jc w:val="center"/>
              <w:rPr>
                <w:rFonts w:hint="eastAsia"/>
                <w:lang w:val="en-US" w:eastAsia="zh-CN"/>
              </w:rPr>
            </w:pPr>
            <w:r>
              <w:rPr>
                <w:rFonts w:hint="default"/>
                <w:lang w:val="en-US" w:eastAsia="zh-CN"/>
              </w:rPr>
              <w:t>0</w:t>
            </w:r>
          </w:p>
        </w:tc>
        <w:tc>
          <w:tcPr>
            <w:tcW w:w="668" w:type="dxa"/>
            <w:gridSpan w:val="3"/>
            <w:noWrap/>
            <w:vAlign w:val="center"/>
          </w:tcPr>
          <w:p>
            <w:pPr>
              <w:jc w:val="center"/>
              <w:rPr>
                <w:rFonts w:hint="eastAsia"/>
                <w:lang w:val="en-US" w:eastAsia="zh-CN"/>
              </w:rPr>
            </w:pPr>
            <w:r>
              <w:rPr>
                <w:rFonts w:hint="default"/>
                <w:lang w:val="en-US" w:eastAsia="zh-CN"/>
              </w:rPr>
              <w:t>48</w:t>
            </w:r>
          </w:p>
        </w:tc>
        <w:tc>
          <w:tcPr>
            <w:tcW w:w="645" w:type="dxa"/>
            <w:noWrap/>
            <w:vAlign w:val="center"/>
          </w:tcPr>
          <w:p>
            <w:pPr>
              <w:jc w:val="center"/>
              <w:rPr>
                <w:rFonts w:hint="eastAsia"/>
                <w:lang w:val="en-US" w:eastAsia="zh-CN"/>
              </w:rPr>
            </w:pPr>
            <w:r>
              <w:rPr>
                <w:rFonts w:hint="eastAsia"/>
                <w:lang w:val="en-US" w:eastAsia="zh-CN"/>
              </w:rPr>
              <w:t>48</w:t>
            </w:r>
          </w:p>
        </w:tc>
        <w:tc>
          <w:tcPr>
            <w:tcW w:w="840" w:type="dxa"/>
            <w:vAlign w:val="center"/>
          </w:tcPr>
          <w:p>
            <w:pPr>
              <w:jc w:val="center"/>
              <w:rPr>
                <w:rFonts w:hint="eastAsia"/>
                <w:lang w:val="en-US" w:eastAsia="zh-CN"/>
              </w:rPr>
            </w:pPr>
            <w:r>
              <w:rPr>
                <w:rFonts w:hint="default"/>
                <w:lang w:val="en-US" w:eastAsia="zh-CN"/>
              </w:rPr>
              <w:t>2</w:t>
            </w:r>
          </w:p>
        </w:tc>
        <w:tc>
          <w:tcPr>
            <w:tcW w:w="720" w:type="dxa"/>
            <w:noWrap/>
            <w:vAlign w:val="center"/>
          </w:tcPr>
          <w:p>
            <w:pPr>
              <w:jc w:val="center"/>
              <w:rPr>
                <w:rFonts w:hint="eastAsia"/>
                <w:lang w:val="en-US" w:eastAsia="zh-CN"/>
              </w:rPr>
            </w:pPr>
          </w:p>
        </w:tc>
        <w:tc>
          <w:tcPr>
            <w:tcW w:w="705" w:type="dxa"/>
            <w:noWrap/>
            <w:vAlign w:val="center"/>
          </w:tcPr>
          <w:p>
            <w:pPr>
              <w:jc w:val="center"/>
              <w:rPr>
                <w:rFonts w:hint="eastAsia"/>
                <w:lang w:val="en-US" w:eastAsia="zh-CN"/>
              </w:rPr>
            </w:pPr>
            <w:r>
              <w:rPr>
                <w:rFonts w:hint="eastAsia"/>
                <w:lang w:val="en-US" w:eastAsia="zh-CN"/>
              </w:rPr>
              <w:t>2*24</w:t>
            </w:r>
          </w:p>
        </w:tc>
        <w:tc>
          <w:tcPr>
            <w:tcW w:w="720" w:type="dxa"/>
            <w:noWrap/>
            <w:vAlign w:val="center"/>
          </w:tcPr>
          <w:p>
            <w:pPr>
              <w:jc w:val="center"/>
              <w:rPr>
                <w:rFonts w:hint="eastAsia"/>
                <w:lang w:eastAsia="zh-CN"/>
              </w:rPr>
            </w:pPr>
          </w:p>
        </w:tc>
        <w:tc>
          <w:tcPr>
            <w:tcW w:w="765" w:type="dxa"/>
            <w:gridSpan w:val="2"/>
            <w:noWrap/>
            <w:vAlign w:val="center"/>
          </w:tcPr>
          <w:p>
            <w:pPr>
              <w:jc w:val="center"/>
              <w:rPr>
                <w:rFonts w:hint="eastAsia"/>
                <w:lang w:eastAsia="zh-CN"/>
              </w:rPr>
            </w:pP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lang w:val="en-US" w:eastAsia="zh-CN"/>
              </w:rPr>
            </w:pPr>
            <w:r>
              <w:rPr>
                <w:rFonts w:hint="eastAsia"/>
                <w:lang w:val="en-US" w:eastAsia="zh-CN"/>
              </w:rPr>
              <w:t>实习报告</w:t>
            </w:r>
          </w:p>
        </w:tc>
        <w:tc>
          <w:tcPr>
            <w:tcW w:w="697" w:type="dxa"/>
            <w:noWrap/>
            <w:vAlign w:val="center"/>
          </w:tcPr>
          <w:p>
            <w:pPr>
              <w:jc w:val="center"/>
              <w:rPr>
                <w:rFonts w:hint="eastAsia"/>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560"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eastAsia"/>
                <w:lang w:eastAsia="zh-CN"/>
              </w:rPr>
            </w:pPr>
            <w:r>
              <w:rPr>
                <w:rFonts w:hint="eastAsia"/>
                <w:lang w:eastAsia="zh-CN"/>
              </w:rPr>
              <w:t>2</w:t>
            </w:r>
          </w:p>
        </w:tc>
        <w:tc>
          <w:tcPr>
            <w:tcW w:w="1763" w:type="dxa"/>
            <w:gridSpan w:val="2"/>
            <w:vAlign w:val="center"/>
          </w:tcPr>
          <w:p>
            <w:pPr>
              <w:jc w:val="center"/>
              <w:rPr>
                <w:rFonts w:hint="eastAsia"/>
                <w:lang w:val="en-US" w:eastAsia="zh-CN"/>
              </w:rPr>
            </w:pPr>
            <w:r>
              <w:rPr>
                <w:rFonts w:hint="eastAsia"/>
                <w:lang w:val="en-US" w:eastAsia="zh-CN"/>
              </w:rPr>
              <w:t>建筑测量课程设计</w:t>
            </w:r>
          </w:p>
        </w:tc>
        <w:tc>
          <w:tcPr>
            <w:tcW w:w="570" w:type="dxa"/>
            <w:noWrap/>
            <w:vAlign w:val="center"/>
          </w:tcPr>
          <w:p>
            <w:pPr>
              <w:jc w:val="center"/>
              <w:rPr>
                <w:rFonts w:hint="eastAsia"/>
                <w:lang w:val="en-US" w:eastAsia="zh-CN"/>
              </w:rPr>
            </w:pPr>
            <w:r>
              <w:rPr>
                <w:rFonts w:hint="default"/>
                <w:lang w:val="en-US" w:eastAsia="zh-CN"/>
              </w:rPr>
              <w:t>0</w:t>
            </w:r>
          </w:p>
        </w:tc>
        <w:tc>
          <w:tcPr>
            <w:tcW w:w="668" w:type="dxa"/>
            <w:gridSpan w:val="3"/>
            <w:noWrap/>
            <w:vAlign w:val="center"/>
          </w:tcPr>
          <w:p>
            <w:pPr>
              <w:jc w:val="center"/>
              <w:rPr>
                <w:rFonts w:hint="eastAsia"/>
                <w:lang w:val="en-US" w:eastAsia="zh-CN"/>
              </w:rPr>
            </w:pPr>
            <w:r>
              <w:rPr>
                <w:rFonts w:hint="default"/>
                <w:lang w:val="en-US" w:eastAsia="zh-CN"/>
              </w:rPr>
              <w:t>48</w:t>
            </w:r>
          </w:p>
        </w:tc>
        <w:tc>
          <w:tcPr>
            <w:tcW w:w="645" w:type="dxa"/>
            <w:noWrap/>
            <w:vAlign w:val="center"/>
          </w:tcPr>
          <w:p>
            <w:pPr>
              <w:jc w:val="center"/>
              <w:rPr>
                <w:rFonts w:hint="eastAsia"/>
                <w:lang w:val="en-US" w:eastAsia="zh-CN"/>
              </w:rPr>
            </w:pPr>
            <w:r>
              <w:rPr>
                <w:rFonts w:hint="eastAsia"/>
                <w:lang w:val="en-US" w:eastAsia="zh-CN"/>
              </w:rPr>
              <w:t>48</w:t>
            </w:r>
          </w:p>
        </w:tc>
        <w:tc>
          <w:tcPr>
            <w:tcW w:w="840" w:type="dxa"/>
            <w:vAlign w:val="center"/>
          </w:tcPr>
          <w:p>
            <w:pPr>
              <w:jc w:val="center"/>
              <w:rPr>
                <w:rFonts w:hint="eastAsia"/>
                <w:lang w:val="en-US" w:eastAsia="zh-CN"/>
              </w:rPr>
            </w:pPr>
            <w:r>
              <w:rPr>
                <w:rFonts w:hint="default"/>
                <w:lang w:val="en-US" w:eastAsia="zh-CN"/>
              </w:rPr>
              <w:t>2</w:t>
            </w:r>
          </w:p>
        </w:tc>
        <w:tc>
          <w:tcPr>
            <w:tcW w:w="720" w:type="dxa"/>
            <w:noWrap/>
            <w:vAlign w:val="center"/>
          </w:tcPr>
          <w:p>
            <w:pPr>
              <w:jc w:val="center"/>
              <w:rPr>
                <w:rFonts w:hint="eastAsia"/>
                <w:lang w:val="en-US" w:eastAsia="zh-CN"/>
              </w:rPr>
            </w:pPr>
          </w:p>
        </w:tc>
        <w:tc>
          <w:tcPr>
            <w:tcW w:w="705" w:type="dxa"/>
            <w:noWrap/>
            <w:vAlign w:val="center"/>
          </w:tcPr>
          <w:p>
            <w:pPr>
              <w:jc w:val="center"/>
              <w:rPr>
                <w:rFonts w:hint="eastAsia"/>
                <w:lang w:val="en-US" w:eastAsia="zh-CN"/>
              </w:rPr>
            </w:pPr>
            <w:r>
              <w:rPr>
                <w:rFonts w:hint="eastAsia"/>
                <w:lang w:val="en-US" w:eastAsia="zh-CN"/>
              </w:rPr>
              <w:t>2*24</w:t>
            </w:r>
          </w:p>
        </w:tc>
        <w:tc>
          <w:tcPr>
            <w:tcW w:w="720" w:type="dxa"/>
            <w:noWrap/>
            <w:vAlign w:val="center"/>
          </w:tcPr>
          <w:p>
            <w:pPr>
              <w:jc w:val="center"/>
              <w:rPr>
                <w:rFonts w:hint="eastAsia"/>
                <w:lang w:eastAsia="zh-CN"/>
              </w:rPr>
            </w:pPr>
          </w:p>
        </w:tc>
        <w:tc>
          <w:tcPr>
            <w:tcW w:w="765" w:type="dxa"/>
            <w:gridSpan w:val="2"/>
            <w:noWrap/>
            <w:vAlign w:val="center"/>
          </w:tcPr>
          <w:p>
            <w:pPr>
              <w:jc w:val="center"/>
              <w:rPr>
                <w:rFonts w:hint="eastAsia"/>
                <w:lang w:eastAsia="zh-CN"/>
              </w:rPr>
            </w:pP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lang w:val="en-US" w:eastAsia="zh-CN"/>
              </w:rPr>
            </w:pPr>
            <w:r>
              <w:rPr>
                <w:rFonts w:hint="eastAsia"/>
                <w:lang w:val="en-US" w:eastAsia="zh-CN"/>
              </w:rPr>
              <w:t>实习报告</w:t>
            </w:r>
          </w:p>
        </w:tc>
        <w:tc>
          <w:tcPr>
            <w:tcW w:w="697" w:type="dxa"/>
            <w:noWrap/>
            <w:vAlign w:val="center"/>
          </w:tcPr>
          <w:p>
            <w:pPr>
              <w:jc w:val="center"/>
              <w:rPr>
                <w:rFonts w:hint="eastAsia"/>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72"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default"/>
                <w:lang w:val="en-US" w:eastAsia="zh-CN"/>
              </w:rPr>
            </w:pPr>
            <w:r>
              <w:rPr>
                <w:rFonts w:hint="eastAsia"/>
                <w:lang w:val="en-US" w:eastAsia="zh-CN"/>
              </w:rPr>
              <w:t>3</w:t>
            </w:r>
          </w:p>
        </w:tc>
        <w:tc>
          <w:tcPr>
            <w:tcW w:w="1763" w:type="dxa"/>
            <w:gridSpan w:val="2"/>
            <w:vAlign w:val="center"/>
          </w:tcPr>
          <w:p>
            <w:pPr>
              <w:jc w:val="center"/>
              <w:rPr>
                <w:rFonts w:hint="eastAsia"/>
                <w:lang w:val="en-US" w:eastAsia="zh-CN"/>
              </w:rPr>
            </w:pPr>
            <w:r>
              <w:rPr>
                <w:rFonts w:hint="eastAsia"/>
                <w:lang w:eastAsia="zh-CN"/>
              </w:rPr>
              <w:t>平法识图课程设计</w:t>
            </w:r>
          </w:p>
        </w:tc>
        <w:tc>
          <w:tcPr>
            <w:tcW w:w="570" w:type="dxa"/>
            <w:noWrap/>
            <w:vAlign w:val="center"/>
          </w:tcPr>
          <w:p>
            <w:pPr>
              <w:jc w:val="center"/>
              <w:rPr>
                <w:rFonts w:hint="eastAsia"/>
                <w:lang w:val="en-US" w:eastAsia="zh-CN"/>
              </w:rPr>
            </w:pPr>
            <w:r>
              <w:rPr>
                <w:rFonts w:hint="eastAsia"/>
                <w:lang w:eastAsia="zh-CN"/>
              </w:rPr>
              <w:t>0</w:t>
            </w:r>
          </w:p>
        </w:tc>
        <w:tc>
          <w:tcPr>
            <w:tcW w:w="668" w:type="dxa"/>
            <w:gridSpan w:val="3"/>
            <w:noWrap/>
            <w:vAlign w:val="center"/>
          </w:tcPr>
          <w:p>
            <w:pPr>
              <w:jc w:val="center"/>
              <w:rPr>
                <w:rFonts w:hint="eastAsia"/>
                <w:lang w:val="en-US" w:eastAsia="zh-CN"/>
              </w:rPr>
            </w:pPr>
            <w:r>
              <w:rPr>
                <w:rFonts w:hint="eastAsia"/>
                <w:lang w:eastAsia="zh-CN"/>
              </w:rPr>
              <w:t>48</w:t>
            </w:r>
          </w:p>
        </w:tc>
        <w:tc>
          <w:tcPr>
            <w:tcW w:w="645" w:type="dxa"/>
            <w:noWrap/>
            <w:vAlign w:val="center"/>
          </w:tcPr>
          <w:p>
            <w:pPr>
              <w:jc w:val="center"/>
              <w:rPr>
                <w:rFonts w:hint="eastAsia"/>
                <w:lang w:val="en-US" w:eastAsia="zh-CN"/>
              </w:rPr>
            </w:pPr>
            <w:r>
              <w:rPr>
                <w:rFonts w:hint="eastAsia"/>
                <w:lang w:eastAsia="zh-CN"/>
              </w:rPr>
              <w:t>48</w:t>
            </w:r>
          </w:p>
        </w:tc>
        <w:tc>
          <w:tcPr>
            <w:tcW w:w="840" w:type="dxa"/>
            <w:vAlign w:val="center"/>
          </w:tcPr>
          <w:p>
            <w:pPr>
              <w:jc w:val="center"/>
              <w:rPr>
                <w:rFonts w:hint="eastAsia"/>
                <w:lang w:val="en-US" w:eastAsia="zh-CN"/>
              </w:rPr>
            </w:pPr>
            <w:r>
              <w:rPr>
                <w:rFonts w:hint="eastAsia"/>
                <w:lang w:eastAsia="zh-CN"/>
              </w:rPr>
              <w:t>2</w:t>
            </w:r>
          </w:p>
        </w:tc>
        <w:tc>
          <w:tcPr>
            <w:tcW w:w="720" w:type="dxa"/>
            <w:noWrap/>
            <w:vAlign w:val="center"/>
          </w:tcPr>
          <w:p>
            <w:pPr>
              <w:jc w:val="center"/>
              <w:rPr>
                <w:rFonts w:hint="eastAsia"/>
                <w:lang w:val="en-US" w:eastAsia="zh-CN"/>
              </w:rPr>
            </w:pPr>
          </w:p>
        </w:tc>
        <w:tc>
          <w:tcPr>
            <w:tcW w:w="705" w:type="dxa"/>
            <w:noWrap/>
            <w:vAlign w:val="center"/>
          </w:tcPr>
          <w:p>
            <w:pPr>
              <w:jc w:val="center"/>
              <w:rPr>
                <w:rFonts w:hint="eastAsia"/>
                <w:lang w:val="en-US" w:eastAsia="zh-CN"/>
              </w:rPr>
            </w:pPr>
          </w:p>
        </w:tc>
        <w:tc>
          <w:tcPr>
            <w:tcW w:w="720" w:type="dxa"/>
            <w:noWrap/>
            <w:vAlign w:val="center"/>
          </w:tcPr>
          <w:p>
            <w:pPr>
              <w:jc w:val="center"/>
              <w:rPr>
                <w:rFonts w:hint="eastAsia"/>
                <w:lang w:val="en-US" w:eastAsia="zh-CN"/>
              </w:rPr>
            </w:pPr>
            <w:r>
              <w:rPr>
                <w:rFonts w:hint="eastAsia"/>
                <w:lang w:val="en-US" w:eastAsia="zh-CN"/>
              </w:rPr>
              <w:t>1</w:t>
            </w:r>
            <w:r>
              <w:rPr>
                <w:rFonts w:hint="eastAsia"/>
                <w:lang w:eastAsia="zh-CN"/>
              </w:rPr>
              <w:t>*24</w:t>
            </w:r>
          </w:p>
        </w:tc>
        <w:tc>
          <w:tcPr>
            <w:tcW w:w="765" w:type="dxa"/>
            <w:gridSpan w:val="2"/>
            <w:noWrap/>
            <w:vAlign w:val="center"/>
          </w:tcPr>
          <w:p>
            <w:pPr>
              <w:jc w:val="center"/>
              <w:rPr>
                <w:rFonts w:hint="eastAsia"/>
                <w:lang w:eastAsia="zh-CN"/>
              </w:rPr>
            </w:pP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实习报告</w:t>
            </w:r>
          </w:p>
        </w:tc>
        <w:tc>
          <w:tcPr>
            <w:tcW w:w="697" w:type="dxa"/>
            <w:noWrap/>
            <w:vAlign w:val="center"/>
          </w:tcPr>
          <w:p>
            <w:pPr>
              <w:jc w:val="center"/>
              <w:rPr>
                <w:rFonts w:hint="eastAsia"/>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72"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eastAsia"/>
                <w:lang w:val="en-US" w:eastAsia="zh-CN"/>
              </w:rPr>
            </w:pPr>
            <w:r>
              <w:rPr>
                <w:rFonts w:hint="eastAsia"/>
                <w:lang w:val="en-US" w:eastAsia="zh-CN"/>
              </w:rPr>
              <w:t>4</w:t>
            </w:r>
          </w:p>
        </w:tc>
        <w:tc>
          <w:tcPr>
            <w:tcW w:w="1763" w:type="dxa"/>
            <w:gridSpan w:val="2"/>
            <w:vAlign w:val="center"/>
          </w:tcPr>
          <w:p>
            <w:pPr>
              <w:widowControl/>
              <w:jc w:val="center"/>
              <w:rPr>
                <w:rFonts w:hint="eastAsia" w:ascii="宋体" w:cs="宋体" w:hAnsiTheme="minorHAnsi" w:eastAsiaTheme="minorEastAsia"/>
                <w:kern w:val="0"/>
                <w:sz w:val="21"/>
                <w:szCs w:val="21"/>
                <w:lang w:val="en-US" w:eastAsia="zh-CN" w:bidi="ar-SA"/>
              </w:rPr>
            </w:pPr>
            <w:r>
              <w:rPr>
                <w:rFonts w:hint="eastAsia" w:ascii="宋体" w:hAnsi="宋体" w:cs="宋体"/>
                <w:kern w:val="0"/>
                <w:lang w:eastAsia="zh-CN" w:bidi="ar"/>
              </w:rPr>
              <w:t>地下</w:t>
            </w:r>
            <w:r>
              <w:rPr>
                <w:rFonts w:hint="eastAsia" w:ascii="宋体" w:hAnsi="宋体" w:cs="宋体"/>
                <w:kern w:val="0"/>
                <w:lang w:bidi="ar"/>
              </w:rPr>
              <w:t>施工组织课程设计</w:t>
            </w:r>
          </w:p>
        </w:tc>
        <w:tc>
          <w:tcPr>
            <w:tcW w:w="570" w:type="dxa"/>
            <w:noWrap/>
            <w:vAlign w:val="center"/>
          </w:tcPr>
          <w:p>
            <w:pPr>
              <w:widowControl/>
              <w:jc w:val="center"/>
              <w:rPr>
                <w:rFonts w:hint="eastAsia" w:ascii="宋体" w:cs="宋体" w:hAnsiTheme="minorHAnsi" w:eastAsiaTheme="minorEastAsia"/>
                <w:kern w:val="0"/>
                <w:sz w:val="21"/>
                <w:szCs w:val="21"/>
                <w:lang w:val="en-US" w:eastAsia="zh-CN" w:bidi="ar-SA"/>
              </w:rPr>
            </w:pPr>
            <w:r>
              <w:rPr>
                <w:color w:val="000000"/>
                <w:lang w:bidi="ar"/>
              </w:rPr>
              <w:t>0</w:t>
            </w:r>
          </w:p>
        </w:tc>
        <w:tc>
          <w:tcPr>
            <w:tcW w:w="668" w:type="dxa"/>
            <w:gridSpan w:val="3"/>
            <w:noWrap/>
            <w:vAlign w:val="center"/>
          </w:tcPr>
          <w:p>
            <w:pPr>
              <w:widowControl/>
              <w:jc w:val="center"/>
              <w:rPr>
                <w:rFonts w:hint="default" w:ascii="宋体" w:cs="宋体" w:hAnsiTheme="minorHAnsi" w:eastAsiaTheme="minorEastAsia"/>
                <w:kern w:val="0"/>
                <w:sz w:val="21"/>
                <w:szCs w:val="21"/>
                <w:lang w:val="en-US" w:eastAsia="zh-CN" w:bidi="ar-SA"/>
              </w:rPr>
            </w:pPr>
            <w:r>
              <w:rPr>
                <w:color w:val="000000"/>
                <w:lang w:bidi="ar"/>
              </w:rPr>
              <w:t>48</w:t>
            </w:r>
          </w:p>
        </w:tc>
        <w:tc>
          <w:tcPr>
            <w:tcW w:w="645" w:type="dxa"/>
            <w:noWrap/>
            <w:vAlign w:val="center"/>
          </w:tcPr>
          <w:p>
            <w:pPr>
              <w:widowControl/>
              <w:jc w:val="center"/>
              <w:rPr>
                <w:rFonts w:hint="default" w:ascii="宋体" w:cs="宋体" w:hAnsiTheme="minorHAnsi" w:eastAsiaTheme="minorEastAsia"/>
                <w:kern w:val="0"/>
                <w:sz w:val="21"/>
                <w:szCs w:val="21"/>
                <w:lang w:val="en-US" w:eastAsia="zh-CN" w:bidi="ar-SA"/>
              </w:rPr>
            </w:pPr>
            <w:r>
              <w:rPr>
                <w:rFonts w:hint="eastAsia" w:ascii="宋体" w:hAnsi="宋体" w:cs="宋体"/>
                <w:kern w:val="0"/>
                <w:lang w:bidi="ar"/>
              </w:rPr>
              <w:t>48</w:t>
            </w:r>
          </w:p>
        </w:tc>
        <w:tc>
          <w:tcPr>
            <w:tcW w:w="840" w:type="dxa"/>
            <w:vAlign w:val="center"/>
          </w:tcPr>
          <w:p>
            <w:pPr>
              <w:widowControl/>
              <w:jc w:val="center"/>
              <w:rPr>
                <w:rFonts w:hint="eastAsia" w:ascii="宋体" w:cs="宋体" w:hAnsiTheme="minorHAnsi" w:eastAsiaTheme="minorEastAsia"/>
                <w:kern w:val="0"/>
                <w:sz w:val="21"/>
                <w:szCs w:val="21"/>
                <w:lang w:val="en-US" w:eastAsia="zh-CN" w:bidi="ar-SA"/>
              </w:rPr>
            </w:pPr>
            <w:r>
              <w:rPr>
                <w:sz w:val="22"/>
                <w:lang w:bidi="ar"/>
              </w:rPr>
              <w:t>2</w:t>
            </w:r>
          </w:p>
        </w:tc>
        <w:tc>
          <w:tcPr>
            <w:tcW w:w="720" w:type="dxa"/>
            <w:noWrap/>
            <w:vAlign w:val="center"/>
          </w:tcPr>
          <w:p>
            <w:pPr>
              <w:widowControl/>
              <w:jc w:val="center"/>
              <w:rPr>
                <w:rFonts w:hint="eastAsia" w:ascii="宋体" w:cs="宋体" w:hAnsiTheme="minorHAnsi" w:eastAsiaTheme="minorEastAsia"/>
                <w:kern w:val="0"/>
                <w:sz w:val="21"/>
                <w:szCs w:val="21"/>
                <w:lang w:val="en-US" w:eastAsia="zh-CN" w:bidi="ar-SA"/>
              </w:rPr>
            </w:pPr>
          </w:p>
        </w:tc>
        <w:tc>
          <w:tcPr>
            <w:tcW w:w="705" w:type="dxa"/>
            <w:noWrap/>
            <w:vAlign w:val="center"/>
          </w:tcPr>
          <w:p>
            <w:pPr>
              <w:widowControl/>
              <w:jc w:val="center"/>
              <w:rPr>
                <w:rFonts w:hint="eastAsia" w:ascii="宋体" w:cs="宋体" w:hAnsiTheme="minorHAnsi" w:eastAsiaTheme="minorEastAsia"/>
                <w:kern w:val="0"/>
                <w:sz w:val="21"/>
                <w:szCs w:val="21"/>
                <w:lang w:val="en-US" w:eastAsia="zh-CN" w:bidi="ar-SA"/>
              </w:rPr>
            </w:pPr>
          </w:p>
        </w:tc>
        <w:tc>
          <w:tcPr>
            <w:tcW w:w="720" w:type="dxa"/>
            <w:noWrap/>
            <w:vAlign w:val="center"/>
          </w:tcPr>
          <w:p>
            <w:pPr>
              <w:widowControl/>
              <w:jc w:val="center"/>
              <w:rPr>
                <w:rFonts w:hint="eastAsia" w:ascii="宋体" w:cs="宋体" w:hAnsiTheme="minorHAnsi" w:eastAsiaTheme="minorEastAsia"/>
                <w:kern w:val="0"/>
                <w:sz w:val="21"/>
                <w:szCs w:val="21"/>
                <w:lang w:val="en-US" w:eastAsia="zh-CN" w:bidi="ar-SA"/>
              </w:rPr>
            </w:pPr>
            <w:r>
              <w:rPr>
                <w:rFonts w:hint="eastAsia" w:ascii="宋体" w:hAnsi="宋体" w:cs="宋体"/>
                <w:kern w:val="0"/>
                <w:lang w:bidi="ar"/>
              </w:rPr>
              <w:t>2*24</w:t>
            </w:r>
          </w:p>
        </w:tc>
        <w:tc>
          <w:tcPr>
            <w:tcW w:w="765" w:type="dxa"/>
            <w:gridSpan w:val="2"/>
            <w:noWrap/>
            <w:vAlign w:val="center"/>
          </w:tcPr>
          <w:p>
            <w:pPr>
              <w:jc w:val="center"/>
              <w:rPr>
                <w:rFonts w:hint="eastAsia"/>
                <w:lang w:eastAsia="zh-CN"/>
              </w:rPr>
            </w:pP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实习报告</w:t>
            </w:r>
          </w:p>
        </w:tc>
        <w:tc>
          <w:tcPr>
            <w:tcW w:w="697" w:type="dxa"/>
            <w:noWrap/>
            <w:vAlign w:val="center"/>
          </w:tcPr>
          <w:p>
            <w:pPr>
              <w:jc w:val="center"/>
              <w:rPr>
                <w:rFonts w:hint="eastAsia"/>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72"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eastAsia"/>
                <w:lang w:val="en-US" w:eastAsia="zh-CN"/>
              </w:rPr>
            </w:pPr>
            <w:r>
              <w:rPr>
                <w:rFonts w:hint="eastAsia"/>
                <w:lang w:val="en-US" w:eastAsia="zh-CN"/>
              </w:rPr>
              <w:t>6</w:t>
            </w:r>
          </w:p>
        </w:tc>
        <w:tc>
          <w:tcPr>
            <w:tcW w:w="1763" w:type="dxa"/>
            <w:gridSpan w:val="2"/>
            <w:vAlign w:val="center"/>
          </w:tcPr>
          <w:p>
            <w:pPr>
              <w:jc w:val="center"/>
              <w:rPr>
                <w:rFonts w:hint="eastAsia"/>
                <w:lang w:eastAsia="zh-CN"/>
              </w:rPr>
            </w:pPr>
            <w:r>
              <w:rPr>
                <w:rFonts w:hint="eastAsia" w:ascii="宋体" w:hAnsi="宋体" w:cs="宋体"/>
                <w:kern w:val="0"/>
                <w:lang w:bidi="ar"/>
              </w:rPr>
              <w:t>建筑工程预算课程设计（含上机操作）</w:t>
            </w:r>
          </w:p>
        </w:tc>
        <w:tc>
          <w:tcPr>
            <w:tcW w:w="570" w:type="dxa"/>
            <w:noWrap/>
            <w:vAlign w:val="center"/>
          </w:tcPr>
          <w:p>
            <w:pPr>
              <w:jc w:val="center"/>
              <w:rPr>
                <w:rFonts w:hint="eastAsia"/>
                <w:lang w:val="en-US" w:eastAsia="zh-CN"/>
              </w:rPr>
            </w:pPr>
            <w:r>
              <w:rPr>
                <w:rFonts w:hint="eastAsia"/>
                <w:lang w:val="en-US" w:eastAsia="zh-CN"/>
              </w:rPr>
              <w:t>0</w:t>
            </w:r>
          </w:p>
        </w:tc>
        <w:tc>
          <w:tcPr>
            <w:tcW w:w="668" w:type="dxa"/>
            <w:gridSpan w:val="3"/>
            <w:noWrap/>
            <w:vAlign w:val="center"/>
          </w:tcPr>
          <w:p>
            <w:pPr>
              <w:jc w:val="center"/>
              <w:rPr>
                <w:rFonts w:hint="default"/>
                <w:lang w:val="en-US" w:eastAsia="zh-CN"/>
              </w:rPr>
            </w:pPr>
            <w:r>
              <w:rPr>
                <w:rFonts w:hint="eastAsia"/>
                <w:lang w:val="en-US" w:eastAsia="zh-CN"/>
              </w:rPr>
              <w:t>96</w:t>
            </w:r>
          </w:p>
        </w:tc>
        <w:tc>
          <w:tcPr>
            <w:tcW w:w="645" w:type="dxa"/>
            <w:noWrap/>
            <w:vAlign w:val="center"/>
          </w:tcPr>
          <w:p>
            <w:pPr>
              <w:jc w:val="center"/>
              <w:rPr>
                <w:rFonts w:hint="default"/>
                <w:lang w:val="en-US" w:eastAsia="zh-CN"/>
              </w:rPr>
            </w:pPr>
            <w:r>
              <w:rPr>
                <w:rFonts w:hint="eastAsia"/>
                <w:lang w:val="en-US" w:eastAsia="zh-CN"/>
              </w:rPr>
              <w:t>96</w:t>
            </w:r>
          </w:p>
        </w:tc>
        <w:tc>
          <w:tcPr>
            <w:tcW w:w="840" w:type="dxa"/>
            <w:vAlign w:val="center"/>
          </w:tcPr>
          <w:p>
            <w:pPr>
              <w:jc w:val="center"/>
              <w:rPr>
                <w:rFonts w:hint="eastAsia"/>
                <w:lang w:val="en-US" w:eastAsia="zh-CN"/>
              </w:rPr>
            </w:pPr>
            <w:r>
              <w:rPr>
                <w:rFonts w:hint="eastAsia"/>
                <w:lang w:val="en-US" w:eastAsia="zh-CN"/>
              </w:rPr>
              <w:t>4</w:t>
            </w:r>
          </w:p>
        </w:tc>
        <w:tc>
          <w:tcPr>
            <w:tcW w:w="720" w:type="dxa"/>
            <w:noWrap/>
            <w:vAlign w:val="center"/>
          </w:tcPr>
          <w:p>
            <w:pPr>
              <w:jc w:val="center"/>
              <w:rPr>
                <w:rFonts w:hint="eastAsia"/>
                <w:lang w:eastAsia="zh-CN"/>
              </w:rPr>
            </w:pPr>
          </w:p>
        </w:tc>
        <w:tc>
          <w:tcPr>
            <w:tcW w:w="705" w:type="dxa"/>
            <w:noWrap/>
            <w:vAlign w:val="center"/>
          </w:tcPr>
          <w:p>
            <w:pPr>
              <w:jc w:val="center"/>
              <w:rPr>
                <w:rFonts w:hint="eastAsia"/>
                <w:lang w:eastAsia="zh-CN"/>
              </w:rPr>
            </w:pPr>
          </w:p>
        </w:tc>
        <w:tc>
          <w:tcPr>
            <w:tcW w:w="720" w:type="dxa"/>
            <w:noWrap/>
            <w:vAlign w:val="center"/>
          </w:tcPr>
          <w:p>
            <w:pPr>
              <w:jc w:val="center"/>
              <w:rPr>
                <w:rFonts w:hint="eastAsia"/>
                <w:lang w:eastAsia="zh-CN"/>
              </w:rPr>
            </w:pPr>
          </w:p>
        </w:tc>
        <w:tc>
          <w:tcPr>
            <w:tcW w:w="765" w:type="dxa"/>
            <w:gridSpan w:val="2"/>
            <w:noWrap/>
            <w:vAlign w:val="center"/>
          </w:tcPr>
          <w:p>
            <w:pPr>
              <w:jc w:val="center"/>
              <w:rPr>
                <w:rFonts w:hint="eastAsia"/>
                <w:lang w:eastAsia="zh-CN"/>
              </w:rPr>
            </w:pPr>
            <w:r>
              <w:rPr>
                <w:rFonts w:hint="eastAsia"/>
                <w:lang w:val="en-US" w:eastAsia="zh-CN"/>
              </w:rPr>
              <w:t>4*24</w:t>
            </w: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实习报告</w:t>
            </w:r>
          </w:p>
        </w:tc>
        <w:tc>
          <w:tcPr>
            <w:tcW w:w="697" w:type="dxa"/>
            <w:noWrap/>
            <w:vAlign w:val="center"/>
          </w:tcPr>
          <w:p>
            <w:pPr>
              <w:jc w:val="center"/>
              <w:rPr>
                <w:rFonts w:hint="eastAsia"/>
                <w:lang w:val="en-US"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72"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eastAsia"/>
                <w:lang w:eastAsia="zh-CN"/>
              </w:rPr>
            </w:pPr>
          </w:p>
        </w:tc>
        <w:tc>
          <w:tcPr>
            <w:tcW w:w="1763" w:type="dxa"/>
            <w:gridSpan w:val="2"/>
            <w:vAlign w:val="center"/>
          </w:tcPr>
          <w:p>
            <w:pPr>
              <w:jc w:val="center"/>
              <w:rPr>
                <w:rFonts w:hint="eastAsia"/>
                <w:lang w:eastAsia="zh-CN"/>
              </w:rPr>
            </w:pPr>
          </w:p>
        </w:tc>
        <w:tc>
          <w:tcPr>
            <w:tcW w:w="570" w:type="dxa"/>
            <w:noWrap/>
            <w:vAlign w:val="center"/>
          </w:tcPr>
          <w:p>
            <w:pPr>
              <w:jc w:val="center"/>
              <w:rPr>
                <w:rFonts w:hint="eastAsia"/>
                <w:b/>
                <w:bCs/>
                <w:lang w:val="en-US" w:eastAsia="zh-CN"/>
              </w:rPr>
            </w:pPr>
            <w:r>
              <w:rPr>
                <w:rFonts w:hint="eastAsia"/>
                <w:b/>
                <w:bCs/>
                <w:lang w:val="en-US" w:eastAsia="zh-CN"/>
              </w:rPr>
              <w:t>0</w:t>
            </w:r>
          </w:p>
        </w:tc>
        <w:tc>
          <w:tcPr>
            <w:tcW w:w="668" w:type="dxa"/>
            <w:gridSpan w:val="3"/>
            <w:noWrap/>
            <w:vAlign w:val="center"/>
          </w:tcPr>
          <w:p>
            <w:pPr>
              <w:jc w:val="center"/>
              <w:rPr>
                <w:rFonts w:hint="eastAsia"/>
                <w:b/>
                <w:bCs/>
                <w:lang w:eastAsia="zh-CN"/>
              </w:rPr>
            </w:pPr>
            <w:r>
              <w:rPr>
                <w:rFonts w:hint="eastAsia"/>
                <w:b/>
                <w:bCs/>
                <w:lang w:val="en-US" w:eastAsia="zh-CN"/>
              </w:rPr>
              <w:t>288</w:t>
            </w:r>
          </w:p>
        </w:tc>
        <w:tc>
          <w:tcPr>
            <w:tcW w:w="645" w:type="dxa"/>
            <w:noWrap/>
            <w:vAlign w:val="center"/>
          </w:tcPr>
          <w:p>
            <w:pPr>
              <w:jc w:val="center"/>
              <w:rPr>
                <w:rFonts w:hint="default"/>
                <w:b/>
                <w:bCs/>
                <w:lang w:val="en-US" w:eastAsia="zh-CN"/>
              </w:rPr>
            </w:pPr>
            <w:r>
              <w:rPr>
                <w:rFonts w:hint="eastAsia"/>
                <w:b/>
                <w:bCs/>
                <w:lang w:val="en-US" w:eastAsia="zh-CN"/>
              </w:rPr>
              <w:t>288</w:t>
            </w:r>
          </w:p>
        </w:tc>
        <w:tc>
          <w:tcPr>
            <w:tcW w:w="840" w:type="dxa"/>
            <w:vAlign w:val="center"/>
          </w:tcPr>
          <w:p>
            <w:pPr>
              <w:jc w:val="center"/>
              <w:rPr>
                <w:rFonts w:hint="default"/>
                <w:b/>
                <w:bCs/>
                <w:lang w:val="en-US" w:eastAsia="zh-CN"/>
              </w:rPr>
            </w:pPr>
            <w:r>
              <w:rPr>
                <w:rFonts w:hint="eastAsia"/>
                <w:b/>
                <w:bCs/>
                <w:lang w:val="en-US" w:eastAsia="zh-CN"/>
              </w:rPr>
              <w:t>12</w:t>
            </w:r>
          </w:p>
        </w:tc>
        <w:tc>
          <w:tcPr>
            <w:tcW w:w="720" w:type="dxa"/>
            <w:noWrap/>
            <w:vAlign w:val="center"/>
          </w:tcPr>
          <w:p>
            <w:pPr>
              <w:jc w:val="center"/>
              <w:rPr>
                <w:rFonts w:hint="eastAsia"/>
                <w:lang w:eastAsia="zh-CN"/>
              </w:rPr>
            </w:pPr>
          </w:p>
        </w:tc>
        <w:tc>
          <w:tcPr>
            <w:tcW w:w="705" w:type="dxa"/>
            <w:noWrap/>
            <w:vAlign w:val="center"/>
          </w:tcPr>
          <w:p>
            <w:pPr>
              <w:jc w:val="center"/>
              <w:rPr>
                <w:rFonts w:hint="eastAsia"/>
                <w:lang w:eastAsia="zh-CN"/>
              </w:rPr>
            </w:pPr>
          </w:p>
        </w:tc>
        <w:tc>
          <w:tcPr>
            <w:tcW w:w="720" w:type="dxa"/>
            <w:noWrap/>
            <w:vAlign w:val="center"/>
          </w:tcPr>
          <w:p>
            <w:pPr>
              <w:jc w:val="center"/>
              <w:rPr>
                <w:rFonts w:hint="eastAsia"/>
                <w:lang w:eastAsia="zh-CN"/>
              </w:rPr>
            </w:pPr>
          </w:p>
        </w:tc>
        <w:tc>
          <w:tcPr>
            <w:tcW w:w="765" w:type="dxa"/>
            <w:gridSpan w:val="2"/>
            <w:noWrap/>
            <w:vAlign w:val="center"/>
          </w:tcPr>
          <w:p>
            <w:pPr>
              <w:jc w:val="center"/>
              <w:rPr>
                <w:rFonts w:hint="eastAsia"/>
                <w:lang w:eastAsia="zh-CN"/>
              </w:rPr>
            </w:pPr>
          </w:p>
        </w:tc>
        <w:tc>
          <w:tcPr>
            <w:tcW w:w="675" w:type="dxa"/>
            <w:gridSpan w:val="2"/>
            <w:noWrap/>
            <w:vAlign w:val="center"/>
          </w:tcPr>
          <w:p>
            <w:pPr>
              <w:jc w:val="center"/>
              <w:rPr>
                <w:rFonts w:hint="eastAsia"/>
                <w:lang w:eastAsia="zh-CN"/>
              </w:rPr>
            </w:pPr>
          </w:p>
        </w:tc>
        <w:tc>
          <w:tcPr>
            <w:tcW w:w="825" w:type="dxa"/>
            <w:gridSpan w:val="2"/>
            <w:noWrap/>
            <w:vAlign w:val="center"/>
          </w:tcPr>
          <w:p>
            <w:pPr>
              <w:jc w:val="center"/>
              <w:rPr>
                <w:rFonts w:hint="eastAsia"/>
                <w:lang w:eastAsia="zh-CN"/>
              </w:rPr>
            </w:pPr>
          </w:p>
        </w:tc>
        <w:tc>
          <w:tcPr>
            <w:tcW w:w="1200" w:type="dxa"/>
            <w:gridSpan w:val="2"/>
            <w:noWrap/>
            <w:vAlign w:val="center"/>
          </w:tcPr>
          <w:p>
            <w:pPr>
              <w:jc w:val="center"/>
              <w:rPr>
                <w:rFonts w:hint="eastAsia"/>
                <w:lang w:eastAsia="zh-CN"/>
              </w:rPr>
            </w:pPr>
          </w:p>
        </w:tc>
        <w:tc>
          <w:tcPr>
            <w:tcW w:w="697" w:type="dxa"/>
            <w:noWrap/>
            <w:vAlign w:val="center"/>
          </w:tcPr>
          <w:p>
            <w:pPr>
              <w:jc w:val="center"/>
              <w:rPr>
                <w:rFonts w:hint="eastAsia"/>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266" w:hRule="atLeast"/>
        </w:trPr>
        <w:tc>
          <w:tcPr>
            <w:tcW w:w="426" w:type="dxa"/>
            <w:vMerge w:val="continue"/>
            <w:noWrap/>
            <w:vAlign w:val="center"/>
          </w:tcPr>
          <w:p>
            <w:pPr>
              <w:jc w:val="center"/>
              <w:rPr>
                <w:rFonts w:hint="eastAsia"/>
                <w:lang w:eastAsia="zh-CN"/>
              </w:rPr>
            </w:pPr>
          </w:p>
        </w:tc>
        <w:tc>
          <w:tcPr>
            <w:tcW w:w="426" w:type="dxa"/>
            <w:vMerge w:val="restart"/>
            <w:vAlign w:val="center"/>
          </w:tcPr>
          <w:p>
            <w:pPr>
              <w:jc w:val="center"/>
              <w:rPr>
                <w:rFonts w:hint="eastAsia"/>
                <w:lang w:eastAsia="zh-CN"/>
              </w:rPr>
            </w:pPr>
            <w:r>
              <w:rPr>
                <w:rFonts w:hint="eastAsia"/>
                <w:lang w:eastAsia="zh-CN"/>
              </w:rPr>
              <w:t>综合实践</w:t>
            </w:r>
          </w:p>
        </w:tc>
        <w:tc>
          <w:tcPr>
            <w:tcW w:w="446" w:type="dxa"/>
            <w:noWrap/>
            <w:vAlign w:val="center"/>
          </w:tcPr>
          <w:p>
            <w:pPr>
              <w:jc w:val="center"/>
              <w:rPr>
                <w:rFonts w:hint="eastAsia"/>
                <w:lang w:val="en-US" w:eastAsia="zh-CN"/>
              </w:rPr>
            </w:pPr>
            <w:r>
              <w:rPr>
                <w:rFonts w:hint="eastAsia"/>
                <w:lang w:val="en-US" w:eastAsia="zh-CN"/>
              </w:rPr>
              <w:t>1</w:t>
            </w:r>
          </w:p>
        </w:tc>
        <w:tc>
          <w:tcPr>
            <w:tcW w:w="1763" w:type="dxa"/>
            <w:gridSpan w:val="2"/>
            <w:vAlign w:val="center"/>
          </w:tcPr>
          <w:p>
            <w:pPr>
              <w:jc w:val="center"/>
              <w:rPr>
                <w:rFonts w:hint="eastAsia"/>
                <w:lang w:val="en-US" w:eastAsia="zh-CN"/>
              </w:rPr>
            </w:pPr>
            <w:r>
              <w:rPr>
                <w:rFonts w:hint="eastAsia"/>
                <w:lang w:eastAsia="zh-CN"/>
              </w:rPr>
              <w:t>专业综合技能训练（或跟岗实习）</w:t>
            </w:r>
          </w:p>
        </w:tc>
        <w:tc>
          <w:tcPr>
            <w:tcW w:w="570" w:type="dxa"/>
            <w:noWrap/>
            <w:vAlign w:val="center"/>
          </w:tcPr>
          <w:p>
            <w:pPr>
              <w:jc w:val="center"/>
              <w:rPr>
                <w:rFonts w:hint="eastAsia"/>
                <w:lang w:val="en-US" w:eastAsia="zh-CN"/>
              </w:rPr>
            </w:pPr>
            <w:r>
              <w:rPr>
                <w:rFonts w:hint="eastAsia"/>
                <w:lang w:eastAsia="zh-CN"/>
              </w:rPr>
              <w:t>0</w:t>
            </w:r>
          </w:p>
        </w:tc>
        <w:tc>
          <w:tcPr>
            <w:tcW w:w="668" w:type="dxa"/>
            <w:gridSpan w:val="3"/>
            <w:noWrap/>
            <w:vAlign w:val="center"/>
          </w:tcPr>
          <w:p>
            <w:pPr>
              <w:jc w:val="center"/>
              <w:rPr>
                <w:rFonts w:hint="eastAsia"/>
                <w:lang w:val="en-US" w:eastAsia="zh-CN"/>
              </w:rPr>
            </w:pPr>
            <w:r>
              <w:rPr>
                <w:rFonts w:hint="eastAsia"/>
                <w:lang w:eastAsia="zh-CN"/>
              </w:rPr>
              <w:t>160</w:t>
            </w:r>
          </w:p>
        </w:tc>
        <w:tc>
          <w:tcPr>
            <w:tcW w:w="645" w:type="dxa"/>
            <w:noWrap/>
            <w:vAlign w:val="center"/>
          </w:tcPr>
          <w:p>
            <w:pPr>
              <w:jc w:val="center"/>
              <w:rPr>
                <w:rFonts w:hint="eastAsia"/>
                <w:lang w:val="en-US" w:eastAsia="zh-CN"/>
              </w:rPr>
            </w:pPr>
            <w:r>
              <w:rPr>
                <w:rFonts w:hint="eastAsia"/>
                <w:lang w:eastAsia="zh-CN"/>
              </w:rPr>
              <w:t>160</w:t>
            </w:r>
          </w:p>
        </w:tc>
        <w:tc>
          <w:tcPr>
            <w:tcW w:w="840" w:type="dxa"/>
            <w:vAlign w:val="center"/>
          </w:tcPr>
          <w:p>
            <w:pPr>
              <w:jc w:val="center"/>
              <w:rPr>
                <w:rFonts w:hint="eastAsia"/>
                <w:lang w:val="en-US" w:eastAsia="zh-CN"/>
              </w:rPr>
            </w:pPr>
            <w:r>
              <w:rPr>
                <w:rFonts w:hint="eastAsia"/>
                <w:lang w:eastAsia="zh-CN"/>
              </w:rPr>
              <w:t>8</w:t>
            </w:r>
          </w:p>
        </w:tc>
        <w:tc>
          <w:tcPr>
            <w:tcW w:w="720" w:type="dxa"/>
            <w:noWrap/>
            <w:vAlign w:val="center"/>
          </w:tcPr>
          <w:p>
            <w:pPr>
              <w:jc w:val="center"/>
              <w:rPr>
                <w:rFonts w:hint="eastAsia"/>
                <w:lang w:val="en-US" w:eastAsia="zh-CN"/>
              </w:rPr>
            </w:pPr>
          </w:p>
        </w:tc>
        <w:tc>
          <w:tcPr>
            <w:tcW w:w="705" w:type="dxa"/>
            <w:noWrap/>
            <w:vAlign w:val="center"/>
          </w:tcPr>
          <w:p>
            <w:pPr>
              <w:jc w:val="center"/>
              <w:rPr>
                <w:rFonts w:hint="eastAsia"/>
                <w:lang w:val="en-US" w:eastAsia="zh-CN"/>
              </w:rPr>
            </w:pPr>
          </w:p>
        </w:tc>
        <w:tc>
          <w:tcPr>
            <w:tcW w:w="720" w:type="dxa"/>
            <w:noWrap/>
            <w:vAlign w:val="center"/>
          </w:tcPr>
          <w:p>
            <w:pPr>
              <w:jc w:val="center"/>
              <w:rPr>
                <w:rFonts w:hint="eastAsia"/>
                <w:lang w:val="en-US" w:eastAsia="zh-CN"/>
              </w:rPr>
            </w:pPr>
          </w:p>
        </w:tc>
        <w:tc>
          <w:tcPr>
            <w:tcW w:w="765" w:type="dxa"/>
            <w:gridSpan w:val="2"/>
            <w:noWrap/>
            <w:vAlign w:val="center"/>
          </w:tcPr>
          <w:p>
            <w:pPr>
              <w:jc w:val="center"/>
              <w:rPr>
                <w:rFonts w:hint="eastAsia"/>
                <w:lang w:val="en-US" w:eastAsia="zh-CN"/>
              </w:rPr>
            </w:pPr>
          </w:p>
        </w:tc>
        <w:tc>
          <w:tcPr>
            <w:tcW w:w="675" w:type="dxa"/>
            <w:gridSpan w:val="2"/>
            <w:noWrap/>
            <w:vAlign w:val="center"/>
          </w:tcPr>
          <w:p>
            <w:pPr>
              <w:jc w:val="center"/>
              <w:rPr>
                <w:rFonts w:hint="eastAsia"/>
                <w:lang w:val="en-US" w:eastAsia="zh-CN"/>
              </w:rPr>
            </w:pPr>
            <w:r>
              <w:rPr>
                <w:rFonts w:hint="eastAsia"/>
                <w:lang w:eastAsia="zh-CN"/>
              </w:rPr>
              <w:t>8*20</w:t>
            </w:r>
          </w:p>
        </w:tc>
        <w:tc>
          <w:tcPr>
            <w:tcW w:w="825" w:type="dxa"/>
            <w:gridSpan w:val="2"/>
            <w:noWrap/>
            <w:vAlign w:val="center"/>
          </w:tcPr>
          <w:p>
            <w:pPr>
              <w:jc w:val="center"/>
              <w:rPr>
                <w:rFonts w:hint="eastAsia"/>
                <w:lang w:val="en-US" w:eastAsia="zh-CN"/>
              </w:rPr>
            </w:pPr>
          </w:p>
        </w:tc>
        <w:tc>
          <w:tcPr>
            <w:tcW w:w="1200" w:type="dxa"/>
            <w:gridSpan w:val="2"/>
            <w:noWrap/>
            <w:vAlign w:val="center"/>
          </w:tcPr>
          <w:p>
            <w:pPr>
              <w:jc w:val="center"/>
              <w:rPr>
                <w:rFonts w:hint="eastAsia"/>
                <w:lang w:val="en-US" w:eastAsia="zh-CN"/>
              </w:rPr>
            </w:pPr>
            <w:r>
              <w:rPr>
                <w:rFonts w:hint="eastAsia"/>
                <w:lang w:eastAsia="zh-CN"/>
              </w:rPr>
              <w:t>实习报告</w:t>
            </w:r>
          </w:p>
        </w:tc>
        <w:tc>
          <w:tcPr>
            <w:tcW w:w="697" w:type="dxa"/>
            <w:noWrap/>
            <w:vAlign w:val="center"/>
          </w:tcPr>
          <w:p>
            <w:pPr>
              <w:jc w:val="center"/>
              <w:rPr>
                <w:rFonts w:hint="eastAsia"/>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426" w:type="dxa"/>
            <w:vMerge w:val="continue"/>
            <w:vAlign w:val="center"/>
          </w:tcPr>
          <w:p>
            <w:pPr>
              <w:jc w:val="center"/>
              <w:rPr>
                <w:rFonts w:hint="eastAsia"/>
                <w:lang w:eastAsia="zh-CN"/>
              </w:rPr>
            </w:pPr>
          </w:p>
        </w:tc>
        <w:tc>
          <w:tcPr>
            <w:tcW w:w="426" w:type="dxa"/>
            <w:vMerge w:val="continue"/>
            <w:vAlign w:val="center"/>
          </w:tcPr>
          <w:p>
            <w:pPr>
              <w:jc w:val="center"/>
              <w:rPr>
                <w:rFonts w:hint="eastAsia"/>
                <w:lang w:eastAsia="zh-CN"/>
              </w:rPr>
            </w:pPr>
          </w:p>
        </w:tc>
        <w:tc>
          <w:tcPr>
            <w:tcW w:w="446" w:type="dxa"/>
            <w:noWrap/>
            <w:vAlign w:val="center"/>
          </w:tcPr>
          <w:p>
            <w:pPr>
              <w:jc w:val="center"/>
              <w:rPr>
                <w:rFonts w:hint="eastAsia"/>
                <w:lang w:eastAsia="zh-CN"/>
              </w:rPr>
            </w:pPr>
            <w:r>
              <w:rPr>
                <w:rFonts w:hint="eastAsia"/>
                <w:lang w:eastAsia="zh-CN"/>
              </w:rPr>
              <w:t>2</w:t>
            </w:r>
          </w:p>
        </w:tc>
        <w:tc>
          <w:tcPr>
            <w:tcW w:w="1763" w:type="dxa"/>
            <w:gridSpan w:val="2"/>
            <w:vAlign w:val="center"/>
          </w:tcPr>
          <w:p>
            <w:pPr>
              <w:jc w:val="center"/>
              <w:rPr>
                <w:rFonts w:hint="eastAsia"/>
                <w:lang w:val="en-US" w:eastAsia="zh-CN"/>
              </w:rPr>
            </w:pPr>
            <w:r>
              <w:rPr>
                <w:rFonts w:hint="eastAsia"/>
                <w:lang w:eastAsia="zh-CN"/>
              </w:rPr>
              <w:t>顶岗实习</w:t>
            </w:r>
          </w:p>
        </w:tc>
        <w:tc>
          <w:tcPr>
            <w:tcW w:w="570" w:type="dxa"/>
            <w:noWrap/>
            <w:vAlign w:val="center"/>
          </w:tcPr>
          <w:p>
            <w:pPr>
              <w:jc w:val="center"/>
              <w:rPr>
                <w:rFonts w:hint="eastAsia"/>
                <w:lang w:val="en-US" w:eastAsia="zh-CN"/>
              </w:rPr>
            </w:pPr>
            <w:r>
              <w:rPr>
                <w:rFonts w:hint="eastAsia"/>
                <w:lang w:eastAsia="zh-CN"/>
              </w:rPr>
              <w:t>0</w:t>
            </w:r>
          </w:p>
        </w:tc>
        <w:tc>
          <w:tcPr>
            <w:tcW w:w="668" w:type="dxa"/>
            <w:gridSpan w:val="3"/>
            <w:noWrap/>
            <w:vAlign w:val="center"/>
          </w:tcPr>
          <w:p>
            <w:pPr>
              <w:jc w:val="center"/>
              <w:rPr>
                <w:rFonts w:hint="eastAsia"/>
                <w:lang w:val="en-US" w:eastAsia="zh-CN"/>
              </w:rPr>
            </w:pPr>
            <w:r>
              <w:rPr>
                <w:rFonts w:hint="eastAsia"/>
                <w:lang w:eastAsia="zh-CN"/>
              </w:rPr>
              <w:t>480</w:t>
            </w:r>
          </w:p>
        </w:tc>
        <w:tc>
          <w:tcPr>
            <w:tcW w:w="645" w:type="dxa"/>
            <w:noWrap/>
            <w:vAlign w:val="center"/>
          </w:tcPr>
          <w:p>
            <w:pPr>
              <w:jc w:val="center"/>
              <w:rPr>
                <w:rFonts w:hint="eastAsia"/>
                <w:lang w:val="en-US" w:eastAsia="zh-CN"/>
              </w:rPr>
            </w:pPr>
            <w:r>
              <w:rPr>
                <w:rFonts w:hint="eastAsia"/>
                <w:lang w:eastAsia="zh-CN"/>
              </w:rPr>
              <w:t>480</w:t>
            </w:r>
          </w:p>
        </w:tc>
        <w:tc>
          <w:tcPr>
            <w:tcW w:w="840" w:type="dxa"/>
            <w:vAlign w:val="center"/>
          </w:tcPr>
          <w:p>
            <w:pPr>
              <w:jc w:val="center"/>
              <w:rPr>
                <w:rFonts w:hint="eastAsia"/>
                <w:lang w:val="en-US" w:eastAsia="zh-CN"/>
              </w:rPr>
            </w:pPr>
            <w:r>
              <w:rPr>
                <w:rFonts w:hint="eastAsia"/>
                <w:lang w:eastAsia="zh-CN"/>
              </w:rPr>
              <w:t>24</w:t>
            </w:r>
          </w:p>
        </w:tc>
        <w:tc>
          <w:tcPr>
            <w:tcW w:w="720" w:type="dxa"/>
            <w:noWrap/>
            <w:vAlign w:val="center"/>
          </w:tcPr>
          <w:p>
            <w:pPr>
              <w:jc w:val="center"/>
              <w:rPr>
                <w:rFonts w:hint="eastAsia"/>
                <w:lang w:val="en-US" w:eastAsia="zh-CN"/>
              </w:rPr>
            </w:pPr>
          </w:p>
        </w:tc>
        <w:tc>
          <w:tcPr>
            <w:tcW w:w="705" w:type="dxa"/>
            <w:noWrap/>
            <w:vAlign w:val="center"/>
          </w:tcPr>
          <w:p>
            <w:pPr>
              <w:jc w:val="center"/>
              <w:rPr>
                <w:rFonts w:hint="eastAsia"/>
                <w:lang w:val="en-US" w:eastAsia="zh-CN"/>
              </w:rPr>
            </w:pPr>
          </w:p>
        </w:tc>
        <w:tc>
          <w:tcPr>
            <w:tcW w:w="720" w:type="dxa"/>
            <w:noWrap/>
            <w:vAlign w:val="center"/>
          </w:tcPr>
          <w:p>
            <w:pPr>
              <w:jc w:val="center"/>
              <w:rPr>
                <w:rFonts w:hint="eastAsia"/>
                <w:lang w:val="en-US" w:eastAsia="zh-CN"/>
              </w:rPr>
            </w:pPr>
          </w:p>
        </w:tc>
        <w:tc>
          <w:tcPr>
            <w:tcW w:w="765" w:type="dxa"/>
            <w:gridSpan w:val="2"/>
            <w:noWrap/>
            <w:vAlign w:val="center"/>
          </w:tcPr>
          <w:p>
            <w:pPr>
              <w:jc w:val="center"/>
              <w:rPr>
                <w:rFonts w:hint="eastAsia"/>
                <w:lang w:val="en-US" w:eastAsia="zh-CN"/>
              </w:rPr>
            </w:pPr>
          </w:p>
        </w:tc>
        <w:tc>
          <w:tcPr>
            <w:tcW w:w="675" w:type="dxa"/>
            <w:gridSpan w:val="2"/>
            <w:noWrap/>
            <w:vAlign w:val="center"/>
          </w:tcPr>
          <w:p>
            <w:pPr>
              <w:jc w:val="center"/>
              <w:rPr>
                <w:rFonts w:hint="eastAsia"/>
                <w:lang w:val="en-US" w:eastAsia="zh-CN"/>
              </w:rPr>
            </w:pPr>
            <w:r>
              <w:rPr>
                <w:rFonts w:hint="eastAsia"/>
                <w:lang w:eastAsia="zh-CN"/>
              </w:rPr>
              <w:t>8*20</w:t>
            </w:r>
          </w:p>
        </w:tc>
        <w:tc>
          <w:tcPr>
            <w:tcW w:w="825" w:type="dxa"/>
            <w:gridSpan w:val="2"/>
            <w:noWrap/>
            <w:vAlign w:val="center"/>
          </w:tcPr>
          <w:p>
            <w:pPr>
              <w:jc w:val="center"/>
              <w:rPr>
                <w:rFonts w:hint="eastAsia"/>
                <w:lang w:val="en-US" w:eastAsia="zh-CN"/>
              </w:rPr>
            </w:pPr>
            <w:r>
              <w:rPr>
                <w:rFonts w:hint="eastAsia"/>
                <w:lang w:eastAsia="zh-CN"/>
              </w:rPr>
              <w:t>16*20</w:t>
            </w:r>
          </w:p>
        </w:tc>
        <w:tc>
          <w:tcPr>
            <w:tcW w:w="1200" w:type="dxa"/>
            <w:gridSpan w:val="2"/>
            <w:noWrap/>
            <w:vAlign w:val="center"/>
          </w:tcPr>
          <w:p>
            <w:pPr>
              <w:jc w:val="center"/>
              <w:rPr>
                <w:rFonts w:hint="eastAsia"/>
                <w:lang w:val="en-US" w:eastAsia="zh-CN"/>
              </w:rPr>
            </w:pPr>
            <w:r>
              <w:rPr>
                <w:rFonts w:hint="eastAsia"/>
                <w:lang w:eastAsia="zh-CN"/>
              </w:rPr>
              <w:t>实习报告</w:t>
            </w:r>
          </w:p>
        </w:tc>
        <w:tc>
          <w:tcPr>
            <w:tcW w:w="697" w:type="dxa"/>
            <w:noWrap/>
            <w:vAlign w:val="center"/>
          </w:tcPr>
          <w:p>
            <w:pPr>
              <w:jc w:val="center"/>
              <w:rPr>
                <w:rFonts w:hint="eastAsia"/>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306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小计</w:t>
            </w:r>
          </w:p>
        </w:tc>
        <w:tc>
          <w:tcPr>
            <w:tcW w:w="570" w:type="dxa"/>
            <w:noWrap/>
            <w:vAlign w:val="center"/>
          </w:tcPr>
          <w:p>
            <w:pPr>
              <w:widowControl/>
              <w:jc w:val="center"/>
              <w:rPr>
                <w:rFonts w:hint="eastAsia" w:ascii="宋体" w:cs="宋体" w:eastAsiaTheme="minorEastAsia"/>
                <w:b/>
                <w:bCs/>
                <w:kern w:val="0"/>
                <w:szCs w:val="21"/>
                <w:lang w:val="en-US" w:eastAsia="zh-CN"/>
              </w:rPr>
            </w:pPr>
            <w:r>
              <w:rPr>
                <w:rFonts w:hint="eastAsia" w:ascii="宋体" w:cs="宋体"/>
                <w:b/>
                <w:bCs/>
                <w:kern w:val="0"/>
                <w:szCs w:val="21"/>
                <w:lang w:val="en-US" w:eastAsia="zh-CN"/>
              </w:rPr>
              <w:t>0</w:t>
            </w:r>
          </w:p>
        </w:tc>
        <w:tc>
          <w:tcPr>
            <w:tcW w:w="668" w:type="dxa"/>
            <w:gridSpan w:val="3"/>
            <w:noWrap/>
            <w:vAlign w:val="center"/>
          </w:tcPr>
          <w:p>
            <w:pPr>
              <w:widowControl/>
              <w:jc w:val="center"/>
              <w:rPr>
                <w:rFonts w:ascii="宋体" w:cs="宋体"/>
                <w:b/>
                <w:bCs/>
                <w:kern w:val="0"/>
                <w:szCs w:val="21"/>
              </w:rPr>
            </w:pPr>
            <w:r>
              <w:rPr>
                <w:rFonts w:hint="eastAsia" w:ascii="宋体" w:cs="宋体"/>
                <w:b/>
                <w:bCs/>
                <w:kern w:val="0"/>
                <w:szCs w:val="21"/>
              </w:rPr>
              <w:t>640</w:t>
            </w:r>
          </w:p>
        </w:tc>
        <w:tc>
          <w:tcPr>
            <w:tcW w:w="645" w:type="dxa"/>
            <w:noWrap/>
            <w:vAlign w:val="center"/>
          </w:tcPr>
          <w:p>
            <w:pPr>
              <w:widowControl/>
              <w:jc w:val="center"/>
              <w:rPr>
                <w:rFonts w:ascii="宋体" w:cs="宋体"/>
                <w:b/>
                <w:bCs/>
                <w:kern w:val="0"/>
                <w:szCs w:val="21"/>
              </w:rPr>
            </w:pPr>
            <w:r>
              <w:rPr>
                <w:rFonts w:hint="eastAsia" w:ascii="宋体" w:cs="宋体"/>
                <w:b/>
                <w:bCs/>
                <w:kern w:val="0"/>
                <w:szCs w:val="21"/>
              </w:rPr>
              <w:t>640</w:t>
            </w:r>
          </w:p>
        </w:tc>
        <w:tc>
          <w:tcPr>
            <w:tcW w:w="840" w:type="dxa"/>
            <w:vAlign w:val="center"/>
          </w:tcPr>
          <w:p>
            <w:pPr>
              <w:widowControl/>
              <w:jc w:val="center"/>
              <w:rPr>
                <w:rFonts w:ascii="宋体" w:hAnsi="宋体" w:cs="宋体"/>
                <w:b/>
                <w:bCs/>
                <w:kern w:val="0"/>
                <w:szCs w:val="21"/>
              </w:rPr>
            </w:pPr>
            <w:r>
              <w:rPr>
                <w:rFonts w:hint="eastAsia" w:ascii="宋体" w:hAnsi="宋体" w:cs="宋体"/>
                <w:b/>
                <w:bCs/>
                <w:kern w:val="0"/>
                <w:szCs w:val="21"/>
              </w:rPr>
              <w:t>32</w:t>
            </w:r>
          </w:p>
        </w:tc>
        <w:tc>
          <w:tcPr>
            <w:tcW w:w="720" w:type="dxa"/>
            <w:noWrap/>
            <w:vAlign w:val="center"/>
          </w:tcPr>
          <w:p>
            <w:pPr>
              <w:widowControl/>
              <w:jc w:val="center"/>
              <w:rPr>
                <w:rFonts w:ascii="宋体" w:cs="宋体"/>
                <w:b/>
                <w:bCs/>
                <w:kern w:val="0"/>
                <w:szCs w:val="21"/>
              </w:rPr>
            </w:pPr>
          </w:p>
        </w:tc>
        <w:tc>
          <w:tcPr>
            <w:tcW w:w="705" w:type="dxa"/>
            <w:noWrap/>
            <w:vAlign w:val="center"/>
          </w:tcPr>
          <w:p>
            <w:pPr>
              <w:widowControl/>
              <w:jc w:val="center"/>
              <w:rPr>
                <w:rFonts w:ascii="宋体" w:cs="宋体"/>
                <w:b/>
                <w:bCs/>
                <w:kern w:val="0"/>
                <w:szCs w:val="21"/>
              </w:rPr>
            </w:pPr>
          </w:p>
        </w:tc>
        <w:tc>
          <w:tcPr>
            <w:tcW w:w="720" w:type="dxa"/>
            <w:noWrap/>
            <w:vAlign w:val="center"/>
          </w:tcPr>
          <w:p>
            <w:pPr>
              <w:widowControl/>
              <w:jc w:val="center"/>
              <w:rPr>
                <w:rFonts w:ascii="宋体" w:cs="宋体"/>
                <w:b/>
                <w:bCs/>
                <w:kern w:val="0"/>
                <w:szCs w:val="21"/>
              </w:rPr>
            </w:pPr>
          </w:p>
        </w:tc>
        <w:tc>
          <w:tcPr>
            <w:tcW w:w="765" w:type="dxa"/>
            <w:gridSpan w:val="2"/>
            <w:noWrap/>
            <w:vAlign w:val="center"/>
          </w:tcPr>
          <w:p>
            <w:pPr>
              <w:widowControl/>
              <w:jc w:val="center"/>
              <w:rPr>
                <w:rFonts w:ascii="宋体" w:cs="宋体"/>
                <w:b/>
                <w:bCs/>
                <w:kern w:val="0"/>
                <w:szCs w:val="21"/>
              </w:rPr>
            </w:pPr>
          </w:p>
        </w:tc>
        <w:tc>
          <w:tcPr>
            <w:tcW w:w="675"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320</w:t>
            </w:r>
          </w:p>
        </w:tc>
        <w:tc>
          <w:tcPr>
            <w:tcW w:w="825" w:type="dxa"/>
            <w:gridSpan w:val="2"/>
            <w:noWrap/>
            <w:vAlign w:val="center"/>
          </w:tcPr>
          <w:p>
            <w:pPr>
              <w:widowControl/>
              <w:jc w:val="center"/>
              <w:rPr>
                <w:rFonts w:ascii="宋体" w:cs="宋体"/>
                <w:b/>
                <w:bCs/>
                <w:kern w:val="0"/>
                <w:szCs w:val="21"/>
              </w:rPr>
            </w:pPr>
            <w:r>
              <w:rPr>
                <w:rFonts w:hint="eastAsia" w:ascii="宋体" w:hAnsi="宋体" w:cs="宋体"/>
                <w:b/>
                <w:bCs/>
                <w:kern w:val="0"/>
                <w:szCs w:val="21"/>
              </w:rPr>
              <w:t>320</w:t>
            </w:r>
          </w:p>
        </w:tc>
        <w:tc>
          <w:tcPr>
            <w:tcW w:w="1200" w:type="dxa"/>
            <w:gridSpan w:val="2"/>
            <w:noWrap/>
            <w:vAlign w:val="center"/>
          </w:tcPr>
          <w:p>
            <w:pPr>
              <w:widowControl/>
              <w:jc w:val="center"/>
              <w:rPr>
                <w:rFonts w:ascii="宋体" w:cs="宋体"/>
                <w:b/>
                <w:bCs/>
                <w:kern w:val="0"/>
                <w:szCs w:val="21"/>
              </w:rPr>
            </w:pPr>
          </w:p>
        </w:tc>
        <w:tc>
          <w:tcPr>
            <w:tcW w:w="697" w:type="dxa"/>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3061" w:type="dxa"/>
            <w:gridSpan w:val="5"/>
            <w:noWrap/>
            <w:vAlign w:val="center"/>
          </w:tcPr>
          <w:p>
            <w:pPr>
              <w:widowControl/>
              <w:jc w:val="center"/>
              <w:rPr>
                <w:rFonts w:ascii="宋体" w:cs="宋体"/>
                <w:b/>
                <w:kern w:val="0"/>
                <w:szCs w:val="21"/>
              </w:rPr>
            </w:pPr>
            <w:r>
              <w:rPr>
                <w:rFonts w:hint="eastAsia" w:ascii="宋体" w:hAnsi="宋体" w:cs="宋体"/>
                <w:b/>
                <w:kern w:val="0"/>
                <w:szCs w:val="21"/>
              </w:rPr>
              <w:t>周课时</w:t>
            </w:r>
          </w:p>
        </w:tc>
        <w:tc>
          <w:tcPr>
            <w:tcW w:w="570" w:type="dxa"/>
            <w:noWrap/>
            <w:vAlign w:val="center"/>
          </w:tcPr>
          <w:p>
            <w:pPr>
              <w:widowControl/>
              <w:jc w:val="center"/>
              <w:rPr>
                <w:rFonts w:hint="default" w:ascii="宋体" w:cs="宋体" w:eastAsiaTheme="minorEastAsia"/>
                <w:b/>
                <w:kern w:val="0"/>
                <w:szCs w:val="21"/>
                <w:lang w:val="en-US" w:eastAsia="zh-CN"/>
              </w:rPr>
            </w:pPr>
          </w:p>
        </w:tc>
        <w:tc>
          <w:tcPr>
            <w:tcW w:w="668" w:type="dxa"/>
            <w:gridSpan w:val="3"/>
            <w:noWrap/>
            <w:vAlign w:val="center"/>
          </w:tcPr>
          <w:p>
            <w:pPr>
              <w:widowControl/>
              <w:jc w:val="center"/>
              <w:rPr>
                <w:rFonts w:ascii="宋体" w:cs="宋体"/>
                <w:b/>
                <w:kern w:val="0"/>
                <w:szCs w:val="21"/>
              </w:rPr>
            </w:pPr>
          </w:p>
        </w:tc>
        <w:tc>
          <w:tcPr>
            <w:tcW w:w="645" w:type="dxa"/>
            <w:noWrap/>
            <w:vAlign w:val="center"/>
          </w:tcPr>
          <w:p>
            <w:pPr>
              <w:widowControl/>
              <w:jc w:val="center"/>
              <w:rPr>
                <w:rFonts w:ascii="宋体" w:cs="宋体"/>
                <w:b/>
                <w:kern w:val="0"/>
                <w:szCs w:val="21"/>
              </w:rPr>
            </w:pPr>
          </w:p>
        </w:tc>
        <w:tc>
          <w:tcPr>
            <w:tcW w:w="840" w:type="dxa"/>
            <w:vAlign w:val="center"/>
          </w:tcPr>
          <w:p>
            <w:pPr>
              <w:widowControl/>
              <w:ind w:firstLine="103" w:firstLineChars="49"/>
              <w:jc w:val="center"/>
              <w:rPr>
                <w:rFonts w:ascii="宋体" w:hAnsi="宋体" w:cs="宋体"/>
                <w:b/>
                <w:bCs/>
                <w:kern w:val="0"/>
                <w:szCs w:val="21"/>
              </w:rPr>
            </w:pPr>
          </w:p>
        </w:tc>
        <w:tc>
          <w:tcPr>
            <w:tcW w:w="720" w:type="dxa"/>
            <w:noWrap/>
            <w:vAlign w:val="center"/>
          </w:tcPr>
          <w:p>
            <w:pPr>
              <w:widowControl/>
              <w:ind w:firstLine="103" w:firstLineChars="49"/>
              <w:jc w:val="center"/>
              <w:rPr>
                <w:rFonts w:hint="default" w:ascii="宋体" w:cs="宋体" w:hAnsiTheme="minorHAnsi" w:eastAsiaTheme="minorEastAsia"/>
                <w:b/>
                <w:bCs/>
                <w:kern w:val="0"/>
                <w:sz w:val="21"/>
                <w:szCs w:val="21"/>
                <w:lang w:val="en-US" w:eastAsia="zh-CN" w:bidi="ar-SA"/>
              </w:rPr>
            </w:pPr>
            <w:r>
              <w:rPr>
                <w:rFonts w:hint="eastAsia" w:ascii="宋体" w:cs="宋体"/>
                <w:b/>
                <w:bCs/>
                <w:kern w:val="0"/>
                <w:szCs w:val="21"/>
                <w:lang w:val="en-US" w:eastAsia="zh-CN"/>
              </w:rPr>
              <w:t>25</w:t>
            </w:r>
          </w:p>
        </w:tc>
        <w:tc>
          <w:tcPr>
            <w:tcW w:w="705" w:type="dxa"/>
            <w:noWrap/>
            <w:vAlign w:val="center"/>
          </w:tcPr>
          <w:p>
            <w:pPr>
              <w:widowControl/>
              <w:jc w:val="center"/>
              <w:rPr>
                <w:rFonts w:hint="default" w:ascii="宋体" w:cs="宋体" w:hAnsiTheme="minorHAnsi" w:eastAsiaTheme="minorEastAsia"/>
                <w:b/>
                <w:bCs/>
                <w:kern w:val="0"/>
                <w:sz w:val="21"/>
                <w:szCs w:val="21"/>
                <w:lang w:val="en-US" w:eastAsia="zh-CN" w:bidi="ar-SA"/>
              </w:rPr>
            </w:pPr>
            <w:r>
              <w:rPr>
                <w:rFonts w:hint="eastAsia" w:ascii="宋体" w:cs="宋体"/>
                <w:b/>
                <w:bCs/>
                <w:kern w:val="0"/>
                <w:szCs w:val="21"/>
                <w:lang w:val="en-US" w:eastAsia="zh-CN"/>
              </w:rPr>
              <w:t>24</w:t>
            </w:r>
          </w:p>
        </w:tc>
        <w:tc>
          <w:tcPr>
            <w:tcW w:w="720" w:type="dxa"/>
            <w:noWrap/>
            <w:vAlign w:val="center"/>
          </w:tcPr>
          <w:p>
            <w:pPr>
              <w:widowControl/>
              <w:ind w:firstLine="207" w:firstLineChars="98"/>
              <w:jc w:val="center"/>
              <w:rPr>
                <w:rFonts w:hint="default" w:ascii="宋体" w:cs="宋体" w:eastAsiaTheme="minorEastAsia"/>
                <w:b/>
                <w:bCs/>
                <w:kern w:val="0"/>
                <w:szCs w:val="21"/>
                <w:lang w:val="en-US" w:eastAsia="zh-CN"/>
              </w:rPr>
            </w:pPr>
            <w:r>
              <w:rPr>
                <w:rFonts w:hint="eastAsia" w:ascii="宋体" w:cs="宋体"/>
                <w:b/>
                <w:bCs/>
                <w:kern w:val="0"/>
                <w:szCs w:val="21"/>
                <w:lang w:val="en-US" w:eastAsia="zh-CN"/>
              </w:rPr>
              <w:t>20</w:t>
            </w:r>
          </w:p>
        </w:tc>
        <w:tc>
          <w:tcPr>
            <w:tcW w:w="765" w:type="dxa"/>
            <w:gridSpan w:val="2"/>
            <w:noWrap/>
            <w:vAlign w:val="center"/>
          </w:tcPr>
          <w:p>
            <w:pPr>
              <w:widowControl/>
              <w:jc w:val="center"/>
              <w:rPr>
                <w:rFonts w:hint="default" w:ascii="宋体" w:cs="宋体" w:eastAsiaTheme="minorEastAsia"/>
                <w:b/>
                <w:kern w:val="0"/>
                <w:szCs w:val="21"/>
                <w:lang w:val="en-US" w:eastAsia="zh-CN"/>
              </w:rPr>
            </w:pPr>
            <w:r>
              <w:rPr>
                <w:rFonts w:hint="eastAsia" w:ascii="宋体" w:cs="宋体"/>
                <w:b/>
                <w:kern w:val="0"/>
                <w:szCs w:val="21"/>
                <w:lang w:val="en-US" w:eastAsia="zh-CN"/>
              </w:rPr>
              <w:t>20</w:t>
            </w:r>
          </w:p>
        </w:tc>
        <w:tc>
          <w:tcPr>
            <w:tcW w:w="675" w:type="dxa"/>
            <w:gridSpan w:val="2"/>
            <w:noWrap/>
            <w:vAlign w:val="center"/>
          </w:tcPr>
          <w:p>
            <w:pPr>
              <w:widowControl/>
              <w:jc w:val="center"/>
              <w:rPr>
                <w:rFonts w:hint="default" w:ascii="宋体" w:cs="宋体" w:eastAsiaTheme="minorEastAsia"/>
                <w:b/>
                <w:kern w:val="0"/>
                <w:szCs w:val="21"/>
                <w:lang w:val="en-US" w:eastAsia="zh-CN"/>
              </w:rPr>
            </w:pPr>
            <w:r>
              <w:rPr>
                <w:rFonts w:hint="eastAsia" w:ascii="宋体" w:cs="宋体"/>
                <w:b/>
                <w:kern w:val="0"/>
                <w:szCs w:val="21"/>
                <w:lang w:val="en-US" w:eastAsia="zh-CN"/>
              </w:rPr>
              <w:t>20</w:t>
            </w:r>
          </w:p>
        </w:tc>
        <w:tc>
          <w:tcPr>
            <w:tcW w:w="825" w:type="dxa"/>
            <w:gridSpan w:val="2"/>
            <w:noWrap/>
            <w:vAlign w:val="center"/>
          </w:tcPr>
          <w:p>
            <w:pPr>
              <w:widowControl/>
              <w:jc w:val="center"/>
              <w:rPr>
                <w:rFonts w:hint="default" w:ascii="宋体" w:cs="宋体" w:eastAsiaTheme="minorEastAsia"/>
                <w:b/>
                <w:kern w:val="0"/>
                <w:szCs w:val="21"/>
                <w:lang w:val="en-US" w:eastAsia="zh-CN"/>
              </w:rPr>
            </w:pPr>
            <w:r>
              <w:rPr>
                <w:rFonts w:hint="eastAsia" w:ascii="宋体" w:cs="宋体"/>
                <w:b/>
                <w:kern w:val="0"/>
                <w:szCs w:val="21"/>
                <w:lang w:val="en-US" w:eastAsia="zh-CN"/>
              </w:rPr>
              <w:t>20</w:t>
            </w:r>
          </w:p>
        </w:tc>
        <w:tc>
          <w:tcPr>
            <w:tcW w:w="1200" w:type="dxa"/>
            <w:gridSpan w:val="2"/>
            <w:noWrap/>
            <w:vAlign w:val="center"/>
          </w:tcPr>
          <w:p>
            <w:pPr>
              <w:widowControl/>
              <w:jc w:val="center"/>
              <w:rPr>
                <w:rFonts w:ascii="宋体" w:cs="宋体"/>
                <w:kern w:val="0"/>
                <w:szCs w:val="21"/>
              </w:rPr>
            </w:pPr>
          </w:p>
        </w:tc>
        <w:tc>
          <w:tcPr>
            <w:tcW w:w="697" w:type="dxa"/>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300" w:hRule="atLeast"/>
        </w:trPr>
        <w:tc>
          <w:tcPr>
            <w:tcW w:w="3061" w:type="dxa"/>
            <w:gridSpan w:val="5"/>
            <w:noWrap/>
            <w:vAlign w:val="center"/>
          </w:tcPr>
          <w:p>
            <w:pPr>
              <w:widowControl/>
              <w:jc w:val="center"/>
              <w:rPr>
                <w:rFonts w:ascii="宋体" w:cs="宋体"/>
                <w:b/>
                <w:bCs/>
                <w:kern w:val="0"/>
                <w:szCs w:val="21"/>
              </w:rPr>
            </w:pPr>
            <w:r>
              <w:rPr>
                <w:rFonts w:hint="eastAsia" w:ascii="宋体" w:hAnsi="宋体" w:cs="宋体"/>
                <w:b/>
                <w:bCs/>
                <w:kern w:val="0"/>
                <w:szCs w:val="21"/>
              </w:rPr>
              <w:t>总课时</w:t>
            </w:r>
          </w:p>
        </w:tc>
        <w:tc>
          <w:tcPr>
            <w:tcW w:w="570" w:type="dxa"/>
            <w:noWrap/>
            <w:vAlign w:val="center"/>
          </w:tcPr>
          <w:p>
            <w:pPr>
              <w:widowControl/>
              <w:jc w:val="center"/>
              <w:rPr>
                <w:rFonts w:hint="default" w:ascii="宋体" w:cs="宋体" w:eastAsiaTheme="minorEastAsia"/>
                <w:b/>
                <w:bCs/>
                <w:kern w:val="0"/>
                <w:sz w:val="21"/>
                <w:szCs w:val="21"/>
                <w:lang w:val="en-US" w:eastAsia="zh-CN"/>
              </w:rPr>
            </w:pPr>
            <w:r>
              <w:rPr>
                <w:rFonts w:hint="eastAsia" w:ascii="宋体" w:cs="宋体"/>
                <w:b/>
                <w:bCs/>
                <w:kern w:val="0"/>
                <w:sz w:val="21"/>
                <w:szCs w:val="21"/>
                <w:lang w:val="en-US" w:eastAsia="zh-CN"/>
              </w:rPr>
              <w:t>925</w:t>
            </w:r>
          </w:p>
        </w:tc>
        <w:tc>
          <w:tcPr>
            <w:tcW w:w="668" w:type="dxa"/>
            <w:gridSpan w:val="3"/>
            <w:noWrap/>
            <w:vAlign w:val="center"/>
          </w:tcPr>
          <w:p>
            <w:pPr>
              <w:widowControl/>
              <w:jc w:val="center"/>
              <w:rPr>
                <w:rFonts w:hint="default" w:ascii="宋体" w:cs="宋体" w:eastAsiaTheme="minorEastAsia"/>
                <w:b/>
                <w:bCs/>
                <w:kern w:val="0"/>
                <w:sz w:val="21"/>
                <w:szCs w:val="21"/>
                <w:lang w:val="en-US" w:eastAsia="zh-CN"/>
              </w:rPr>
            </w:pPr>
            <w:r>
              <w:rPr>
                <w:rFonts w:hint="eastAsia" w:ascii="宋体" w:cs="宋体"/>
                <w:b/>
                <w:bCs/>
                <w:kern w:val="0"/>
                <w:sz w:val="21"/>
                <w:szCs w:val="21"/>
                <w:lang w:val="en-US" w:eastAsia="zh-CN"/>
              </w:rPr>
              <w:t>1469</w:t>
            </w:r>
          </w:p>
        </w:tc>
        <w:tc>
          <w:tcPr>
            <w:tcW w:w="645" w:type="dxa"/>
            <w:noWrap/>
            <w:vAlign w:val="center"/>
          </w:tcPr>
          <w:p>
            <w:pPr>
              <w:widowControl/>
              <w:jc w:val="center"/>
              <w:rPr>
                <w:rFonts w:hint="default" w:ascii="宋体" w:cs="宋体" w:eastAsiaTheme="minorEastAsia"/>
                <w:b/>
                <w:bCs/>
                <w:kern w:val="0"/>
                <w:sz w:val="21"/>
                <w:szCs w:val="21"/>
                <w:lang w:val="en-US" w:eastAsia="zh-CN"/>
              </w:rPr>
            </w:pPr>
            <w:r>
              <w:rPr>
                <w:rFonts w:hint="eastAsia" w:ascii="宋体" w:cs="宋体"/>
                <w:b/>
                <w:bCs/>
                <w:kern w:val="0"/>
                <w:sz w:val="21"/>
                <w:szCs w:val="21"/>
                <w:lang w:val="en-US" w:eastAsia="zh-CN"/>
              </w:rPr>
              <w:t>2394</w:t>
            </w:r>
          </w:p>
        </w:tc>
        <w:tc>
          <w:tcPr>
            <w:tcW w:w="840" w:type="dxa"/>
            <w:vAlign w:val="center"/>
          </w:tcPr>
          <w:p>
            <w:pPr>
              <w:widowControl/>
              <w:jc w:val="center"/>
              <w:rPr>
                <w:rFonts w:hint="default" w:ascii="宋体" w:hAnsi="宋体" w:cs="宋体" w:eastAsiaTheme="minorEastAsia"/>
                <w:b/>
                <w:kern w:val="0"/>
                <w:szCs w:val="21"/>
                <w:lang w:val="en-US" w:eastAsia="zh-CN"/>
              </w:rPr>
            </w:pPr>
            <w:r>
              <w:rPr>
                <w:rFonts w:hint="eastAsia" w:ascii="宋体" w:hAnsi="宋体" w:cs="宋体"/>
                <w:b/>
                <w:kern w:val="0"/>
                <w:szCs w:val="21"/>
                <w:lang w:val="en-US" w:eastAsia="zh-CN"/>
              </w:rPr>
              <w:t>124.5</w:t>
            </w:r>
          </w:p>
        </w:tc>
        <w:tc>
          <w:tcPr>
            <w:tcW w:w="720" w:type="dxa"/>
            <w:noWrap/>
            <w:vAlign w:val="center"/>
          </w:tcPr>
          <w:p>
            <w:pPr>
              <w:widowControl/>
              <w:jc w:val="center"/>
              <w:rPr>
                <w:rFonts w:ascii="宋体" w:cs="宋体"/>
                <w:b/>
                <w:kern w:val="0"/>
                <w:szCs w:val="21"/>
              </w:rPr>
            </w:pPr>
          </w:p>
        </w:tc>
        <w:tc>
          <w:tcPr>
            <w:tcW w:w="705" w:type="dxa"/>
            <w:noWrap/>
            <w:vAlign w:val="center"/>
          </w:tcPr>
          <w:p>
            <w:pPr>
              <w:widowControl/>
              <w:jc w:val="center"/>
              <w:rPr>
                <w:rFonts w:ascii="宋体" w:cs="宋体"/>
                <w:b/>
                <w:kern w:val="0"/>
                <w:szCs w:val="21"/>
              </w:rPr>
            </w:pPr>
          </w:p>
        </w:tc>
        <w:tc>
          <w:tcPr>
            <w:tcW w:w="720" w:type="dxa"/>
            <w:noWrap/>
            <w:vAlign w:val="center"/>
          </w:tcPr>
          <w:p>
            <w:pPr>
              <w:widowControl/>
              <w:jc w:val="center"/>
              <w:rPr>
                <w:rFonts w:ascii="宋体" w:cs="宋体"/>
                <w:b/>
                <w:kern w:val="0"/>
                <w:szCs w:val="21"/>
              </w:rPr>
            </w:pPr>
          </w:p>
        </w:tc>
        <w:tc>
          <w:tcPr>
            <w:tcW w:w="765" w:type="dxa"/>
            <w:gridSpan w:val="2"/>
            <w:noWrap/>
            <w:vAlign w:val="center"/>
          </w:tcPr>
          <w:p>
            <w:pPr>
              <w:widowControl/>
              <w:jc w:val="center"/>
              <w:rPr>
                <w:rFonts w:ascii="宋体" w:cs="宋体"/>
                <w:b/>
                <w:kern w:val="0"/>
                <w:szCs w:val="21"/>
              </w:rPr>
            </w:pPr>
          </w:p>
        </w:tc>
        <w:tc>
          <w:tcPr>
            <w:tcW w:w="675" w:type="dxa"/>
            <w:gridSpan w:val="2"/>
            <w:noWrap/>
            <w:vAlign w:val="center"/>
          </w:tcPr>
          <w:p>
            <w:pPr>
              <w:widowControl/>
              <w:jc w:val="center"/>
              <w:rPr>
                <w:rFonts w:ascii="宋体" w:cs="宋体"/>
                <w:b/>
                <w:bCs/>
                <w:kern w:val="0"/>
                <w:szCs w:val="21"/>
              </w:rPr>
            </w:pPr>
          </w:p>
        </w:tc>
        <w:tc>
          <w:tcPr>
            <w:tcW w:w="825" w:type="dxa"/>
            <w:gridSpan w:val="2"/>
            <w:noWrap/>
            <w:vAlign w:val="center"/>
          </w:tcPr>
          <w:p>
            <w:pPr>
              <w:widowControl/>
              <w:jc w:val="center"/>
              <w:rPr>
                <w:rFonts w:ascii="宋体" w:cs="宋体"/>
                <w:b/>
                <w:bCs/>
                <w:kern w:val="0"/>
                <w:szCs w:val="21"/>
              </w:rPr>
            </w:pPr>
          </w:p>
        </w:tc>
        <w:tc>
          <w:tcPr>
            <w:tcW w:w="1200" w:type="dxa"/>
            <w:gridSpan w:val="2"/>
            <w:noWrap/>
            <w:vAlign w:val="center"/>
          </w:tcPr>
          <w:p>
            <w:pPr>
              <w:widowControl/>
              <w:jc w:val="center"/>
              <w:rPr>
                <w:rFonts w:ascii="宋体" w:cs="宋体"/>
                <w:b/>
                <w:bCs/>
                <w:kern w:val="0"/>
                <w:szCs w:val="21"/>
              </w:rPr>
            </w:pPr>
          </w:p>
        </w:tc>
        <w:tc>
          <w:tcPr>
            <w:tcW w:w="697" w:type="dxa"/>
            <w:noWrap/>
            <w:vAlign w:val="center"/>
          </w:tcPr>
          <w:p>
            <w:pPr>
              <w:widowControl/>
              <w:jc w:val="center"/>
              <w:rPr>
                <w:rFonts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gridAfter w:val="1"/>
          <w:wAfter w:w="278" w:type="dxa"/>
          <w:trHeight w:val="496" w:hRule="atLeast"/>
        </w:trPr>
        <w:tc>
          <w:tcPr>
            <w:tcW w:w="12091" w:type="dxa"/>
            <w:gridSpan w:val="23"/>
            <w:noWrap/>
            <w:vAlign w:val="center"/>
          </w:tcPr>
          <w:p>
            <w:pPr>
              <w:widowControl/>
              <w:jc w:val="center"/>
              <w:rPr>
                <w:rFonts w:ascii="宋体" w:hAnsi="宋体" w:cs="宋体"/>
                <w:b/>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75" w:hRule="atLeast"/>
          <w:jc w:val="center"/>
        </w:trPr>
        <w:tc>
          <w:tcPr>
            <w:tcW w:w="12369" w:type="dxa"/>
            <w:gridSpan w:val="24"/>
            <w:noWrap/>
            <w:vAlign w:val="center"/>
          </w:tcPr>
          <w:p>
            <w:pPr>
              <w:widowControl/>
              <w:jc w:val="center"/>
              <w:rPr>
                <w:rFonts w:hint="eastAsia" w:ascii="宋体" w:hAnsi="宋体" w:cs="宋体"/>
                <w:color w:val="auto"/>
                <w:kern w:val="0"/>
                <w:sz w:val="24"/>
              </w:rPr>
            </w:pPr>
            <w:r>
              <w:rPr>
                <w:rFonts w:hint="eastAsia" w:ascii="宋体" w:hAnsi="宋体" w:cs="宋体"/>
                <w:b/>
                <w:color w:val="auto"/>
                <w:kern w:val="0"/>
                <w:sz w:val="24"/>
              </w:rPr>
              <w:t>第二课堂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tcBorders>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类别</w:t>
            </w: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ascii="宋体" w:hAnsi="宋体" w:cs="宋体"/>
                <w:b/>
                <w:color w:val="auto"/>
                <w:kern w:val="0"/>
                <w:sz w:val="24"/>
              </w:rPr>
              <w:t>序号</w:t>
            </w:r>
          </w:p>
        </w:tc>
        <w:tc>
          <w:tcPr>
            <w:tcW w:w="2043" w:type="dxa"/>
            <w:gridSpan w:val="4"/>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项目分类</w:t>
            </w:r>
          </w:p>
        </w:tc>
        <w:tc>
          <w:tcPr>
            <w:tcW w:w="4206" w:type="dxa"/>
            <w:gridSpan w:val="7"/>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项目内容</w:t>
            </w:r>
          </w:p>
        </w:tc>
        <w:tc>
          <w:tcPr>
            <w:tcW w:w="875" w:type="dxa"/>
            <w:gridSpan w:val="2"/>
            <w:tcBorders>
              <w:left w:val="single" w:color="auto" w:sz="4" w:space="0"/>
              <w:right w:val="single" w:color="auto" w:sz="4" w:space="0"/>
            </w:tcBorders>
            <w:noWrap/>
            <w:vAlign w:val="center"/>
          </w:tcPr>
          <w:p>
            <w:pPr>
              <w:widowControl/>
              <w:jc w:val="center"/>
              <w:rPr>
                <w:rFonts w:hint="eastAsia" w:ascii="宋体" w:hAnsi="宋体" w:cs="宋体"/>
                <w:b/>
                <w:color w:val="auto"/>
                <w:kern w:val="0"/>
                <w:sz w:val="24"/>
              </w:rPr>
            </w:pPr>
            <w:r>
              <w:rPr>
                <w:rFonts w:hint="eastAsia" w:ascii="宋体" w:hAnsi="宋体" w:cs="宋体"/>
                <w:b/>
                <w:color w:val="auto"/>
                <w:kern w:val="0"/>
                <w:sz w:val="24"/>
              </w:rPr>
              <w:t>认定</w:t>
            </w:r>
          </w:p>
          <w:p>
            <w:pPr>
              <w:widowControl/>
              <w:jc w:val="center"/>
              <w:rPr>
                <w:rFonts w:hint="eastAsia" w:ascii="宋体" w:hAnsi="宋体" w:cs="宋体" w:eastAsiaTheme="minorEastAsia"/>
                <w:b/>
                <w:color w:val="auto"/>
                <w:kern w:val="0"/>
                <w:sz w:val="24"/>
                <w:szCs w:val="22"/>
                <w:lang w:val="en-US" w:eastAsia="zh-CN" w:bidi="ar-SA"/>
              </w:rPr>
            </w:pPr>
            <w:r>
              <w:rPr>
                <w:rFonts w:hint="eastAsia" w:ascii="宋体" w:hAnsi="宋体" w:cs="宋体"/>
                <w:b/>
                <w:color w:val="auto"/>
                <w:kern w:val="0"/>
                <w:sz w:val="24"/>
              </w:rPr>
              <w:t>依据</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学时</w:t>
            </w:r>
          </w:p>
        </w:tc>
        <w:tc>
          <w:tcPr>
            <w:tcW w:w="750" w:type="dxa"/>
            <w:gridSpan w:val="2"/>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b/>
                <w:color w:val="auto"/>
                <w:kern w:val="0"/>
                <w:sz w:val="24"/>
              </w:rPr>
              <w:t>学分</w:t>
            </w:r>
          </w:p>
        </w:tc>
        <w:tc>
          <w:tcPr>
            <w:tcW w:w="1509" w:type="dxa"/>
            <w:gridSpan w:val="3"/>
            <w:tcBorders>
              <w:left w:val="single" w:color="auto" w:sz="4" w:space="0"/>
            </w:tcBorders>
            <w:noWrap/>
            <w:vAlign w:val="center"/>
          </w:tcPr>
          <w:p>
            <w:pPr>
              <w:widowControl/>
              <w:jc w:val="center"/>
              <w:rPr>
                <w:rFonts w:ascii="宋体" w:hAnsi="宋体" w:cs="宋体" w:eastAsiaTheme="minorEastAsia"/>
                <w:color w:val="auto"/>
                <w:kern w:val="0"/>
                <w:sz w:val="24"/>
                <w:szCs w:val="22"/>
                <w:lang w:val="en-US" w:eastAsia="zh-CN" w:bidi="ar-SA"/>
              </w:rPr>
            </w:pPr>
            <w:r>
              <w:rPr>
                <w:rFonts w:hint="eastAsia" w:ascii="宋体" w:hAnsi="宋体" w:cs="宋体"/>
                <w:b/>
                <w:color w:val="auto"/>
                <w:kern w:val="0"/>
                <w:sz w:val="24"/>
              </w:rPr>
              <w:t>备注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restart"/>
            <w:tcBorders>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bCs/>
                <w:color w:val="auto"/>
                <w:kern w:val="0"/>
                <w:szCs w:val="21"/>
              </w:rPr>
              <w:t>1.思想政治与文化素养提升</w:t>
            </w:r>
          </w:p>
        </w:tc>
        <w:tc>
          <w:tcPr>
            <w:tcW w:w="1025" w:type="dxa"/>
            <w:gridSpan w:val="2"/>
            <w:tcBorders>
              <w:left w:val="single" w:color="auto" w:sz="4" w:space="0"/>
              <w:right w:val="single" w:color="auto" w:sz="4" w:space="0"/>
            </w:tcBorders>
            <w:noWrap/>
            <w:vAlign w:val="center"/>
          </w:tcPr>
          <w:p>
            <w:pPr>
              <w:widowControl/>
              <w:jc w:val="center"/>
              <w:rPr>
                <w:rFonts w:hint="eastAsia" w:eastAsia="宋体" w:asciiTheme="minorHAnsi" w:hAnsiTheme="minorHAnsi" w:cstheme="minorBidi"/>
                <w:color w:val="auto"/>
                <w:kern w:val="0"/>
                <w:sz w:val="21"/>
                <w:szCs w:val="21"/>
                <w:lang w:val="en-US" w:eastAsia="zh-CN" w:bidi="ar-SA"/>
              </w:rPr>
            </w:pPr>
            <w:r>
              <w:rPr>
                <w:rFonts w:hint="eastAsia"/>
                <w:color w:val="auto"/>
                <w:kern w:val="0"/>
                <w:szCs w:val="21"/>
              </w:rPr>
              <w:t>1</w:t>
            </w:r>
          </w:p>
        </w:tc>
        <w:tc>
          <w:tcPr>
            <w:tcW w:w="1783" w:type="dxa"/>
            <w:gridSpan w:val="3"/>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思政与道德</w:t>
            </w:r>
          </w:p>
        </w:tc>
        <w:tc>
          <w:tcPr>
            <w:tcW w:w="4466" w:type="dxa"/>
            <w:gridSpan w:val="8"/>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经学院认定的各项思想引领、志愿公益等活动</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100</w:t>
            </w:r>
          </w:p>
        </w:tc>
        <w:tc>
          <w:tcPr>
            <w:tcW w:w="750" w:type="dxa"/>
            <w:gridSpan w:val="2"/>
            <w:vMerge w:val="restart"/>
            <w:tcBorders>
              <w:left w:val="single" w:color="auto" w:sz="4" w:space="0"/>
              <w:righ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12学分</w:t>
            </w:r>
          </w:p>
        </w:tc>
        <w:tc>
          <w:tcPr>
            <w:tcW w:w="1509" w:type="dxa"/>
            <w:gridSpan w:val="3"/>
            <w:vMerge w:val="restart"/>
            <w:tcBorders>
              <w:lef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项目1</w:t>
            </w:r>
            <w:r>
              <w:rPr>
                <w:rFonts w:hint="eastAsia" w:ascii="宋体" w:hAnsi="宋体" w:cs="宋体"/>
                <w:color w:val="auto"/>
                <w:kern w:val="0"/>
                <w:sz w:val="24"/>
                <w:lang w:eastAsia="zh-CN"/>
              </w:rPr>
              <w:t>、</w:t>
            </w:r>
            <w:r>
              <w:rPr>
                <w:rFonts w:hint="eastAsia" w:ascii="宋体" w:hAnsi="宋体" w:cs="宋体"/>
                <w:color w:val="auto"/>
                <w:kern w:val="0"/>
                <w:sz w:val="24"/>
              </w:rPr>
              <w:t>2、3学分可互通，其中项目1至少获得5学分。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hint="eastAsia" w:asciiTheme="minorHAnsi" w:hAnsiTheme="minorHAnsi" w:eastAsiaTheme="minorEastAsia" w:cstheme="minorBidi"/>
                <w:color w:val="auto"/>
                <w:kern w:val="0"/>
                <w:sz w:val="21"/>
                <w:szCs w:val="21"/>
                <w:lang w:val="en-US" w:eastAsia="zh-CN" w:bidi="ar-SA"/>
              </w:rPr>
            </w:pPr>
            <w:r>
              <w:rPr>
                <w:rFonts w:hint="eastAsia"/>
                <w:color w:val="auto"/>
                <w:kern w:val="0"/>
                <w:szCs w:val="21"/>
              </w:rPr>
              <w:t>2</w:t>
            </w:r>
          </w:p>
        </w:tc>
        <w:tc>
          <w:tcPr>
            <w:tcW w:w="1783" w:type="dxa"/>
            <w:gridSpan w:val="3"/>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文化艺体</w:t>
            </w:r>
          </w:p>
        </w:tc>
        <w:tc>
          <w:tcPr>
            <w:tcW w:w="4466" w:type="dxa"/>
            <w:gridSpan w:val="8"/>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经学院认定的各项文化活动、艺体活动等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60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3"/>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hint="eastAsia" w:asciiTheme="minorHAnsi" w:hAnsiTheme="minorHAnsi" w:eastAsiaTheme="minorEastAsia" w:cstheme="minorBidi"/>
                <w:color w:val="auto"/>
                <w:kern w:val="0"/>
                <w:sz w:val="21"/>
                <w:szCs w:val="21"/>
                <w:lang w:val="en-US" w:eastAsia="zh-CN" w:bidi="ar-SA"/>
              </w:rPr>
            </w:pPr>
            <w:r>
              <w:rPr>
                <w:rFonts w:hint="eastAsia"/>
                <w:color w:val="auto"/>
                <w:kern w:val="0"/>
                <w:szCs w:val="21"/>
              </w:rPr>
              <w:t>3</w:t>
            </w:r>
          </w:p>
        </w:tc>
        <w:tc>
          <w:tcPr>
            <w:tcW w:w="1783" w:type="dxa"/>
            <w:gridSpan w:val="3"/>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人文素质选修课</w:t>
            </w:r>
          </w:p>
        </w:tc>
        <w:tc>
          <w:tcPr>
            <w:tcW w:w="4466" w:type="dxa"/>
            <w:gridSpan w:val="8"/>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包括学院统一征集认定的人文素质选修课程等。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考核结果</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80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3"/>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restart"/>
            <w:tcBorders>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color w:val="auto"/>
                <w:kern w:val="0"/>
                <w:szCs w:val="21"/>
              </w:rPr>
              <w:t>2.专业技能提升</w:t>
            </w: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4</w:t>
            </w:r>
          </w:p>
        </w:tc>
        <w:tc>
          <w:tcPr>
            <w:tcW w:w="1783" w:type="dxa"/>
            <w:gridSpan w:val="3"/>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技能竞赛</w:t>
            </w:r>
          </w:p>
        </w:tc>
        <w:tc>
          <w:tcPr>
            <w:tcW w:w="4466" w:type="dxa"/>
            <w:gridSpan w:val="8"/>
            <w:tcBorders>
              <w:left w:val="single" w:color="auto" w:sz="4" w:space="0"/>
              <w:right w:val="single" w:color="auto" w:sz="4" w:space="0"/>
            </w:tcBorders>
            <w:noWrap/>
            <w:vAlign w:val="center"/>
          </w:tcPr>
          <w:p>
            <w:pPr>
              <w:widowControl/>
              <w:jc w:val="left"/>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包括学院组织开展的专业（职业）技能竞赛或校级以上的各类专业（职业）技能竞赛。</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证书</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80</w:t>
            </w:r>
          </w:p>
        </w:tc>
        <w:tc>
          <w:tcPr>
            <w:tcW w:w="750" w:type="dxa"/>
            <w:gridSpan w:val="2"/>
            <w:vMerge w:val="restart"/>
            <w:tcBorders>
              <w:left w:val="single" w:color="auto" w:sz="4" w:space="0"/>
              <w:righ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13学分</w:t>
            </w:r>
          </w:p>
        </w:tc>
        <w:tc>
          <w:tcPr>
            <w:tcW w:w="1509" w:type="dxa"/>
            <w:gridSpan w:val="3"/>
            <w:vMerge w:val="restart"/>
            <w:tcBorders>
              <w:left w:val="single" w:color="auto" w:sz="4" w:space="0"/>
            </w:tcBorders>
            <w:noWrap/>
            <w:vAlign w:val="center"/>
          </w:tcPr>
          <w:p>
            <w:pPr>
              <w:widowControl/>
              <w:jc w:val="both"/>
              <w:rPr>
                <w:rFonts w:ascii="宋体" w:hAnsi="宋体" w:cs="宋体"/>
                <w:b/>
                <w:color w:val="auto"/>
                <w:kern w:val="0"/>
                <w:sz w:val="24"/>
              </w:rPr>
            </w:pPr>
            <w:r>
              <w:rPr>
                <w:rFonts w:hint="eastAsia" w:ascii="宋体" w:hAnsi="宋体" w:cs="宋体"/>
                <w:color w:val="auto"/>
                <w:kern w:val="0"/>
                <w:sz w:val="24"/>
              </w:rPr>
              <w:t>项目4至项目8学分可互通。</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5</w:t>
            </w:r>
          </w:p>
        </w:tc>
        <w:tc>
          <w:tcPr>
            <w:tcW w:w="1783" w:type="dxa"/>
            <w:gridSpan w:val="3"/>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技能培训</w:t>
            </w:r>
          </w:p>
        </w:tc>
        <w:tc>
          <w:tcPr>
            <w:tcW w:w="4466" w:type="dxa"/>
            <w:gridSpan w:val="8"/>
            <w:tcBorders>
              <w:left w:val="single" w:color="auto" w:sz="4" w:space="0"/>
              <w:right w:val="single" w:color="auto" w:sz="4" w:space="0"/>
            </w:tcBorders>
            <w:noWrap/>
            <w:vAlign w:val="center"/>
          </w:tcPr>
          <w:p>
            <w:pPr>
              <w:widowControl/>
              <w:jc w:val="left"/>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包括学院组织开展的专业（职业）技能培训，职业技能等级证书（1+X证书）。</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证书</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4"/>
              </w:rPr>
              <w:t>80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3"/>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hint="eastAsia" w:asciiTheme="minorHAnsi" w:hAnsiTheme="minorHAnsi" w:eastAsiaTheme="minorEastAsia" w:cstheme="minorBidi"/>
                <w:color w:val="auto"/>
                <w:kern w:val="0"/>
                <w:sz w:val="21"/>
                <w:szCs w:val="21"/>
                <w:lang w:val="en-US" w:eastAsia="zh-CN" w:bidi="ar-SA"/>
              </w:rPr>
            </w:pPr>
            <w:r>
              <w:rPr>
                <w:rFonts w:hint="eastAsia"/>
                <w:color w:val="auto"/>
                <w:kern w:val="0"/>
                <w:szCs w:val="21"/>
              </w:rPr>
              <w:t>6</w:t>
            </w:r>
          </w:p>
        </w:tc>
        <w:tc>
          <w:tcPr>
            <w:tcW w:w="1783" w:type="dxa"/>
            <w:gridSpan w:val="3"/>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专业社团</w:t>
            </w:r>
          </w:p>
        </w:tc>
        <w:tc>
          <w:tcPr>
            <w:tcW w:w="4466" w:type="dxa"/>
            <w:gridSpan w:val="8"/>
            <w:tcBorders>
              <w:left w:val="single" w:color="auto" w:sz="4" w:space="0"/>
              <w:right w:val="single" w:color="auto" w:sz="4" w:space="0"/>
            </w:tcBorders>
            <w:noWrap/>
            <w:vAlign w:val="center"/>
          </w:tcPr>
          <w:p>
            <w:pPr>
              <w:widowControl/>
              <w:jc w:val="left"/>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加入经学院批准成立的专业社团并积极参与社团活动。</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 w:val="24"/>
              </w:rPr>
              <w:t>40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3"/>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restart"/>
            <w:tcBorders>
              <w:right w:val="single" w:color="auto" w:sz="4" w:space="0"/>
            </w:tcBorders>
            <w:noWrap/>
            <w:vAlign w:val="center"/>
          </w:tcPr>
          <w:p>
            <w:pPr>
              <w:widowControl/>
              <w:jc w:val="center"/>
              <w:rPr>
                <w:rFonts w:ascii="宋体" w:hAnsi="宋体" w:cs="宋体"/>
                <w:b/>
                <w:color w:val="auto"/>
                <w:kern w:val="0"/>
                <w:sz w:val="24"/>
              </w:rPr>
            </w:pPr>
            <w:r>
              <w:rPr>
                <w:rFonts w:hint="eastAsia" w:ascii="宋体" w:hAnsi="宋体" w:cs="宋体"/>
                <w:color w:val="auto"/>
                <w:kern w:val="0"/>
                <w:szCs w:val="21"/>
              </w:rPr>
              <w:t>3.创新创业能力提升</w:t>
            </w: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7</w:t>
            </w:r>
          </w:p>
        </w:tc>
        <w:tc>
          <w:tcPr>
            <w:tcW w:w="1783" w:type="dxa"/>
            <w:gridSpan w:val="3"/>
            <w:tcBorders>
              <w:left w:val="single" w:color="auto" w:sz="4" w:space="0"/>
              <w:right w:val="single" w:color="auto" w:sz="4" w:space="0"/>
            </w:tcBorders>
            <w:noWrap/>
            <w:vAlign w:val="center"/>
          </w:tcPr>
          <w:p>
            <w:pPr>
              <w:widowControl/>
              <w:jc w:val="center"/>
              <w:rPr>
                <w:rFonts w:ascii="宋体" w:cs="宋体" w:hAnsiTheme="minorHAnsi" w:eastAsiaTheme="minorEastAsia"/>
                <w:color w:val="auto"/>
                <w:kern w:val="0"/>
                <w:sz w:val="21"/>
                <w:szCs w:val="21"/>
                <w:lang w:val="en-US" w:eastAsia="zh-CN" w:bidi="ar-SA"/>
              </w:rPr>
            </w:pPr>
            <w:r>
              <w:rPr>
                <w:rFonts w:hint="eastAsia" w:ascii="宋体" w:hAnsi="宋体" w:cs="宋体"/>
                <w:color w:val="auto"/>
                <w:kern w:val="0"/>
                <w:szCs w:val="21"/>
              </w:rPr>
              <w:t>创新训练</w:t>
            </w:r>
          </w:p>
        </w:tc>
        <w:tc>
          <w:tcPr>
            <w:tcW w:w="4466" w:type="dxa"/>
            <w:gridSpan w:val="8"/>
            <w:tcBorders>
              <w:left w:val="single" w:color="auto" w:sz="4" w:space="0"/>
              <w:right w:val="single" w:color="auto" w:sz="4" w:space="0"/>
            </w:tcBorders>
            <w:noWrap/>
            <w:vAlign w:val="center"/>
          </w:tcPr>
          <w:p>
            <w:pPr>
              <w:widowControl/>
              <w:jc w:val="left"/>
              <w:rPr>
                <w:rFonts w:ascii="宋体" w:cs="宋体" w:hAnsiTheme="minorHAnsi" w:eastAsiaTheme="minorEastAsia"/>
                <w:color w:val="auto"/>
                <w:kern w:val="0"/>
                <w:sz w:val="21"/>
                <w:szCs w:val="21"/>
                <w:lang w:val="en-US" w:eastAsia="zh-CN" w:bidi="ar-SA"/>
              </w:rPr>
            </w:pPr>
            <w:r>
              <w:rPr>
                <w:rFonts w:hint="eastAsia" w:ascii="宋体" w:hAnsi="宋体" w:cs="宋体"/>
                <w:color w:val="auto"/>
                <w:kern w:val="0"/>
                <w:szCs w:val="21"/>
              </w:rPr>
              <w:t>包括学院组织开展的创新实践活动，金点子与金手指竞赛等。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Calibri"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 w:val="24"/>
              </w:rPr>
              <w:t>40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3"/>
            <w:vMerge w:val="continue"/>
            <w:tcBorders>
              <w:left w:val="single" w:color="auto" w:sz="4" w:space="0"/>
            </w:tcBorders>
            <w:noWrap/>
            <w:vAlign w:val="center"/>
          </w:tcPr>
          <w:p>
            <w:pPr>
              <w:widowControl/>
              <w:jc w:val="both"/>
              <w:rPr>
                <w:rFonts w:ascii="宋体" w:hAnsi="宋体" w:cs="宋体"/>
                <w:b/>
                <w:color w:val="auto"/>
                <w:kern w:val="0"/>
                <w:sz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6" w:hRule="atLeast"/>
          <w:jc w:val="center"/>
        </w:trPr>
        <w:tc>
          <w:tcPr>
            <w:tcW w:w="852" w:type="dxa"/>
            <w:gridSpan w:val="2"/>
            <w:vMerge w:val="continue"/>
            <w:tcBorders>
              <w:right w:val="single" w:color="auto" w:sz="4" w:space="0"/>
            </w:tcBorders>
            <w:noWrap/>
            <w:vAlign w:val="center"/>
          </w:tcPr>
          <w:p>
            <w:pPr>
              <w:widowControl/>
              <w:jc w:val="center"/>
              <w:rPr>
                <w:rFonts w:ascii="宋体" w:hAnsi="宋体" w:cs="宋体"/>
                <w:b/>
                <w:color w:val="auto"/>
                <w:kern w:val="0"/>
                <w:sz w:val="24"/>
              </w:rPr>
            </w:pPr>
          </w:p>
        </w:tc>
        <w:tc>
          <w:tcPr>
            <w:tcW w:w="1025" w:type="dxa"/>
            <w:gridSpan w:val="2"/>
            <w:tcBorders>
              <w:left w:val="single" w:color="auto" w:sz="4" w:space="0"/>
              <w:right w:val="single" w:color="auto" w:sz="4" w:space="0"/>
            </w:tcBorders>
            <w:noWrap/>
            <w:vAlign w:val="center"/>
          </w:tcPr>
          <w:p>
            <w:pPr>
              <w:widowControl/>
              <w:jc w:val="center"/>
              <w:rPr>
                <w:rFonts w:asciiTheme="minorHAnsi" w:hAnsiTheme="minorHAnsi" w:eastAsiaTheme="minorEastAsia" w:cstheme="minorBidi"/>
                <w:color w:val="auto"/>
                <w:kern w:val="0"/>
                <w:sz w:val="21"/>
                <w:szCs w:val="21"/>
                <w:lang w:val="en-US" w:eastAsia="zh-CN" w:bidi="ar-SA"/>
              </w:rPr>
            </w:pPr>
            <w:r>
              <w:rPr>
                <w:rFonts w:hint="eastAsia"/>
                <w:color w:val="auto"/>
                <w:kern w:val="0"/>
                <w:szCs w:val="21"/>
              </w:rPr>
              <w:t>8</w:t>
            </w:r>
          </w:p>
        </w:tc>
        <w:tc>
          <w:tcPr>
            <w:tcW w:w="1783" w:type="dxa"/>
            <w:gridSpan w:val="3"/>
            <w:tcBorders>
              <w:left w:val="single" w:color="auto" w:sz="4" w:space="0"/>
              <w:right w:val="single" w:color="auto" w:sz="4" w:space="0"/>
            </w:tcBorders>
            <w:noWrap/>
            <w:vAlign w:val="center"/>
          </w:tcPr>
          <w:p>
            <w:pPr>
              <w:widowControl/>
              <w:jc w:val="center"/>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创业训练</w:t>
            </w:r>
          </w:p>
        </w:tc>
        <w:tc>
          <w:tcPr>
            <w:tcW w:w="4466" w:type="dxa"/>
            <w:gridSpan w:val="8"/>
            <w:tcBorders>
              <w:left w:val="single" w:color="auto" w:sz="4" w:space="0"/>
              <w:right w:val="single" w:color="auto" w:sz="4" w:space="0"/>
            </w:tcBorders>
            <w:noWrap/>
            <w:vAlign w:val="center"/>
          </w:tcPr>
          <w:p>
            <w:pPr>
              <w:widowControl/>
              <w:jc w:val="left"/>
              <w:rPr>
                <w:rFonts w:ascii="宋体" w:hAnsi="宋体" w:cs="宋体" w:eastAsiaTheme="minorEastAsia"/>
                <w:color w:val="auto"/>
                <w:kern w:val="0"/>
                <w:sz w:val="21"/>
                <w:szCs w:val="21"/>
                <w:lang w:val="en-US" w:eastAsia="zh-CN" w:bidi="ar-SA"/>
              </w:rPr>
            </w:pPr>
            <w:r>
              <w:rPr>
                <w:rFonts w:hint="eastAsia" w:ascii="宋体" w:hAnsi="宋体" w:cs="宋体"/>
                <w:color w:val="auto"/>
                <w:kern w:val="0"/>
                <w:szCs w:val="21"/>
              </w:rPr>
              <w:t>包括学院组织开展的各类创业训练活动各院校及以上的互联网+创新创业大赛等。</w:t>
            </w:r>
          </w:p>
        </w:tc>
        <w:tc>
          <w:tcPr>
            <w:tcW w:w="875" w:type="dxa"/>
            <w:gridSpan w:val="2"/>
            <w:tcBorders>
              <w:left w:val="single" w:color="auto" w:sz="4" w:space="0"/>
              <w:right w:val="single" w:color="auto" w:sz="4" w:space="0"/>
            </w:tcBorders>
            <w:noWrap/>
            <w:vAlign w:val="center"/>
          </w:tcPr>
          <w:p>
            <w:pPr>
              <w:widowControl/>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Cs w:val="21"/>
              </w:rPr>
              <w:t>活动记录</w:t>
            </w:r>
          </w:p>
        </w:tc>
        <w:tc>
          <w:tcPr>
            <w:tcW w:w="1109" w:type="dxa"/>
            <w:gridSpan w:val="2"/>
            <w:tcBorders>
              <w:left w:val="single" w:color="auto" w:sz="4" w:space="0"/>
              <w:right w:val="single" w:color="auto" w:sz="4" w:space="0"/>
            </w:tcBorders>
            <w:noWrap/>
            <w:vAlign w:val="center"/>
          </w:tcPr>
          <w:p>
            <w:pPr>
              <w:widowControl/>
              <w:jc w:val="center"/>
              <w:rPr>
                <w:rFonts w:hint="eastAsia" w:ascii="宋体" w:hAnsi="宋体" w:cs="宋体" w:eastAsiaTheme="minorEastAsia"/>
                <w:color w:val="auto"/>
                <w:kern w:val="0"/>
                <w:sz w:val="21"/>
                <w:szCs w:val="21"/>
                <w:lang w:val="en-US" w:eastAsia="zh-CN" w:bidi="ar-SA"/>
              </w:rPr>
            </w:pPr>
            <w:r>
              <w:rPr>
                <w:rFonts w:hint="eastAsia" w:ascii="宋体" w:hAnsi="宋体" w:cs="宋体"/>
                <w:color w:val="auto"/>
                <w:kern w:val="0"/>
                <w:sz w:val="24"/>
              </w:rPr>
              <w:t>20</w:t>
            </w:r>
          </w:p>
        </w:tc>
        <w:tc>
          <w:tcPr>
            <w:tcW w:w="750" w:type="dxa"/>
            <w:gridSpan w:val="2"/>
            <w:vMerge w:val="continue"/>
            <w:tcBorders>
              <w:left w:val="single" w:color="auto" w:sz="4" w:space="0"/>
              <w:right w:val="single" w:color="auto" w:sz="4" w:space="0"/>
            </w:tcBorders>
            <w:noWrap/>
            <w:vAlign w:val="center"/>
          </w:tcPr>
          <w:p>
            <w:pPr>
              <w:widowControl/>
              <w:jc w:val="both"/>
              <w:rPr>
                <w:rFonts w:ascii="宋体" w:hAnsi="宋体" w:cs="宋体"/>
                <w:b/>
                <w:color w:val="auto"/>
                <w:kern w:val="0"/>
                <w:sz w:val="24"/>
              </w:rPr>
            </w:pPr>
          </w:p>
        </w:tc>
        <w:tc>
          <w:tcPr>
            <w:tcW w:w="1509" w:type="dxa"/>
            <w:gridSpan w:val="3"/>
            <w:vMerge w:val="continue"/>
            <w:tcBorders>
              <w:left w:val="single" w:color="auto" w:sz="4" w:space="0"/>
            </w:tcBorders>
            <w:noWrap/>
            <w:vAlign w:val="center"/>
          </w:tcPr>
          <w:p>
            <w:pPr>
              <w:widowControl/>
              <w:jc w:val="both"/>
              <w:rPr>
                <w:rFonts w:ascii="宋体" w:hAnsi="宋体" w:cs="宋体"/>
                <w:b/>
                <w:color w:val="auto"/>
                <w:kern w:val="0"/>
                <w:sz w:val="24"/>
              </w:rPr>
            </w:pPr>
          </w:p>
        </w:tc>
      </w:tr>
    </w:tbl>
    <w:p>
      <w:pPr>
        <w:adjustRightInd w:val="0"/>
        <w:spacing w:line="560" w:lineRule="exact"/>
        <w:ind w:firstLine="482" w:firstLineChars="200"/>
        <w:rPr>
          <w:rFonts w:ascii="黑体" w:hAnsi="黑体" w:eastAsia="黑体"/>
          <w:b/>
          <w:sz w:val="24"/>
          <w:szCs w:val="24"/>
        </w:rPr>
      </w:pPr>
    </w:p>
    <w:p>
      <w:pPr>
        <w:pBdr>
          <w:top w:val="dotDash" w:color="auto" w:sz="4" w:space="1"/>
          <w:left w:val="dotDash" w:color="auto" w:sz="4" w:space="4"/>
          <w:bottom w:val="dotDash" w:color="auto" w:sz="4" w:space="1"/>
          <w:right w:val="dotDash" w:color="auto" w:sz="4" w:space="4"/>
        </w:pBdr>
        <w:adjustRightInd w:val="0"/>
        <w:spacing w:line="560" w:lineRule="exact"/>
        <w:rPr>
          <w:rFonts w:ascii="黑体" w:hAnsi="黑体" w:eastAsia="黑体"/>
          <w:b/>
          <w:sz w:val="24"/>
          <w:szCs w:val="24"/>
        </w:rPr>
        <w:sectPr>
          <w:pgSz w:w="16838" w:h="11906" w:orient="landscape"/>
          <w:pgMar w:top="1797" w:right="1440" w:bottom="1797" w:left="1440" w:header="851" w:footer="992" w:gutter="0"/>
          <w:cols w:space="425" w:num="1"/>
          <w:docGrid w:type="lines" w:linePitch="312" w:charSpace="0"/>
        </w:sectPr>
      </w:pPr>
    </w:p>
    <w:p>
      <w:pPr>
        <w:numPr>
          <w:ilvl w:val="0"/>
          <w:numId w:val="3"/>
        </w:numPr>
        <w:adjustRightInd w:val="0"/>
        <w:spacing w:line="560" w:lineRule="exact"/>
        <w:ind w:firstLine="480" w:firstLineChars="200"/>
        <w:rPr>
          <w:rFonts w:hint="eastAsia" w:ascii="仿宋" w:hAnsi="仿宋" w:eastAsia="仿宋"/>
          <w:b/>
          <w:sz w:val="28"/>
          <w:szCs w:val="28"/>
        </w:rPr>
      </w:pPr>
      <w:r>
        <w:rPr>
          <w:rFonts w:hint="eastAsia" w:ascii="黑体" w:hAnsi="黑体" w:eastAsia="黑体"/>
          <w:b/>
          <w:sz w:val="24"/>
        </w:rPr>
        <w:t>学时分类统计表</w:t>
      </w:r>
    </w:p>
    <w:tbl>
      <w:tblPr>
        <w:tblStyle w:val="13"/>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759"/>
        <w:gridCol w:w="1217"/>
        <w:gridCol w:w="1217"/>
        <w:gridCol w:w="1217"/>
        <w:gridCol w:w="1217"/>
        <w:gridCol w:w="1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课程类型</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理论课时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实践课时</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小计</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学分</w:t>
            </w:r>
          </w:p>
        </w:tc>
        <w:tc>
          <w:tcPr>
            <w:tcW w:w="1217"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公共基础课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461</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265</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726</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40.5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选修课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160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400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专业（技能）课</w:t>
            </w: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专业基础课</w:t>
            </w:r>
          </w:p>
        </w:tc>
        <w:tc>
          <w:tcPr>
            <w:tcW w:w="1217" w:type="dxa"/>
            <w:vAlign w:val="center"/>
          </w:tcPr>
          <w:p>
            <w:pPr>
              <w:jc w:val="center"/>
              <w:rPr>
                <w:rFonts w:hint="default" w:ascii="黑体" w:hAnsi="黑体" w:eastAsia="黑体"/>
                <w:b/>
                <w:szCs w:val="21"/>
                <w:lang w:val="en-US" w:eastAsia="zh-CN"/>
              </w:rPr>
            </w:pPr>
            <w:r>
              <w:rPr>
                <w:rFonts w:hint="default" w:eastAsia="黑体" w:cs="黑体" w:asciiTheme="majorAscii" w:hAnsiTheme="majorAscii"/>
                <w:b/>
                <w:bCs/>
                <w:sz w:val="22"/>
                <w:szCs w:val="22"/>
                <w:lang w:val="en-US" w:eastAsia="zh-CN"/>
              </w:rPr>
              <w:t>164</w:t>
            </w:r>
          </w:p>
        </w:tc>
        <w:tc>
          <w:tcPr>
            <w:tcW w:w="1217" w:type="dxa"/>
            <w:vAlign w:val="center"/>
          </w:tcPr>
          <w:p>
            <w:pPr>
              <w:jc w:val="center"/>
              <w:rPr>
                <w:rFonts w:hint="default" w:ascii="黑体" w:hAnsi="黑体" w:eastAsia="黑体"/>
                <w:b/>
                <w:szCs w:val="21"/>
                <w:lang w:val="en-US" w:eastAsia="zh-CN"/>
              </w:rPr>
            </w:pPr>
            <w:r>
              <w:rPr>
                <w:rFonts w:hint="default" w:eastAsia="黑体" w:cs="黑体" w:asciiTheme="majorAscii" w:hAnsiTheme="majorAscii"/>
                <w:b/>
                <w:bCs/>
                <w:sz w:val="22"/>
                <w:szCs w:val="22"/>
                <w:lang w:val="en-US" w:eastAsia="zh-CN"/>
              </w:rPr>
              <w:t>144</w:t>
            </w:r>
          </w:p>
        </w:tc>
        <w:tc>
          <w:tcPr>
            <w:tcW w:w="1217" w:type="dxa"/>
            <w:vAlign w:val="center"/>
          </w:tcPr>
          <w:p>
            <w:pPr>
              <w:jc w:val="center"/>
              <w:rPr>
                <w:rFonts w:hint="default" w:ascii="黑体" w:hAnsi="黑体" w:eastAsia="黑体"/>
                <w:b/>
                <w:szCs w:val="21"/>
                <w:lang w:val="en-US" w:eastAsia="zh-CN"/>
              </w:rPr>
            </w:pPr>
            <w:r>
              <w:rPr>
                <w:rFonts w:hint="default" w:eastAsia="黑体" w:cs="黑体" w:asciiTheme="majorAscii" w:hAnsiTheme="majorAscii"/>
                <w:b/>
                <w:bCs/>
                <w:sz w:val="22"/>
                <w:szCs w:val="22"/>
                <w:lang w:val="en-US" w:eastAsia="zh-CN"/>
              </w:rPr>
              <w:t>308</w:t>
            </w:r>
          </w:p>
        </w:tc>
        <w:tc>
          <w:tcPr>
            <w:tcW w:w="1217" w:type="dxa"/>
            <w:vAlign w:val="center"/>
          </w:tcPr>
          <w:p>
            <w:pPr>
              <w:jc w:val="center"/>
              <w:rPr>
                <w:rFonts w:hint="default" w:ascii="黑体" w:hAnsi="黑体" w:eastAsia="黑体"/>
                <w:b/>
                <w:szCs w:val="21"/>
                <w:lang w:val="en-US" w:eastAsia="zh-CN"/>
              </w:rPr>
            </w:pPr>
            <w:r>
              <w:rPr>
                <w:rFonts w:hint="default" w:eastAsia="黑体" w:cs="黑体" w:asciiTheme="majorAscii" w:hAnsiTheme="majorAscii"/>
                <w:b/>
                <w:bCs/>
                <w:sz w:val="22"/>
                <w:szCs w:val="22"/>
                <w:lang w:val="en-US" w:eastAsia="zh-CN"/>
              </w:rPr>
              <w:t>16.5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专业核心课</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340</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192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532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28.5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18.38%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职业技能训练</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jc w:val="center"/>
              <w:rPr>
                <w:rFonts w:hint="default" w:ascii="黑体" w:hAnsi="黑体" w:eastAsia="黑体"/>
                <w:b/>
                <w:szCs w:val="21"/>
                <w:lang w:val="en-US" w:eastAsia="zh-CN"/>
              </w:rPr>
            </w:pPr>
            <w:r>
              <w:rPr>
                <w:rFonts w:hint="eastAsia"/>
                <w:b/>
                <w:color w:val="000000"/>
                <w:sz w:val="22"/>
              </w:rPr>
              <w:t>288</w:t>
            </w:r>
          </w:p>
        </w:tc>
        <w:tc>
          <w:tcPr>
            <w:tcW w:w="1217" w:type="dxa"/>
            <w:vAlign w:val="center"/>
          </w:tcPr>
          <w:p>
            <w:pPr>
              <w:jc w:val="center"/>
              <w:rPr>
                <w:rFonts w:hint="default" w:ascii="黑体" w:hAnsi="黑体" w:eastAsia="黑体"/>
                <w:b/>
                <w:szCs w:val="21"/>
                <w:lang w:val="en-US" w:eastAsia="zh-CN"/>
              </w:rPr>
            </w:pPr>
            <w:r>
              <w:rPr>
                <w:rFonts w:hint="eastAsia"/>
                <w:b/>
                <w:color w:val="000000"/>
                <w:sz w:val="22"/>
              </w:rPr>
              <w:t>288</w:t>
            </w:r>
          </w:p>
        </w:tc>
        <w:tc>
          <w:tcPr>
            <w:tcW w:w="1217" w:type="dxa"/>
            <w:vAlign w:val="center"/>
          </w:tcPr>
          <w:p>
            <w:pPr>
              <w:jc w:val="center"/>
              <w:rPr>
                <w:rFonts w:hint="default" w:ascii="黑体" w:hAnsi="黑体" w:eastAsia="黑体"/>
                <w:b/>
                <w:szCs w:val="21"/>
                <w:lang w:val="en-US" w:eastAsia="zh-CN"/>
              </w:rPr>
            </w:pPr>
            <w:r>
              <w:rPr>
                <w:rFonts w:hint="eastAsia"/>
                <w:b/>
                <w:color w:val="000000"/>
                <w:sz w:val="22"/>
              </w:rPr>
              <w:t>12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pPr>
              <w:adjustRightInd w:val="0"/>
              <w:spacing w:line="560" w:lineRule="exact"/>
              <w:jc w:val="center"/>
              <w:rPr>
                <w:rFonts w:ascii="黑体" w:hAnsi="黑体" w:eastAsia="黑体"/>
                <w:b/>
                <w:szCs w:val="21"/>
              </w:rPr>
            </w:pPr>
          </w:p>
        </w:tc>
        <w:tc>
          <w:tcPr>
            <w:tcW w:w="1759" w:type="dxa"/>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综合实践</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ascii="黑体" w:hAnsi="黑体" w:eastAsia="黑体"/>
                <w:b/>
                <w:szCs w:val="21"/>
                <w:lang w:val="en-US" w:eastAsia="zh-CN"/>
              </w:rPr>
              <w:t>0</w:t>
            </w:r>
          </w:p>
        </w:tc>
        <w:tc>
          <w:tcPr>
            <w:tcW w:w="1217" w:type="dxa"/>
            <w:vAlign w:val="center"/>
          </w:tcPr>
          <w:p>
            <w:pPr>
              <w:jc w:val="center"/>
              <w:rPr>
                <w:rFonts w:hint="default" w:ascii="黑体" w:hAnsi="黑体" w:eastAsia="黑体"/>
                <w:b/>
                <w:szCs w:val="21"/>
                <w:lang w:val="en-US" w:eastAsia="zh-CN"/>
              </w:rPr>
            </w:pPr>
            <w:r>
              <w:rPr>
                <w:rFonts w:hint="eastAsia"/>
                <w:b/>
                <w:color w:val="000000"/>
                <w:sz w:val="22"/>
              </w:rPr>
              <w:t>640</w:t>
            </w:r>
          </w:p>
        </w:tc>
        <w:tc>
          <w:tcPr>
            <w:tcW w:w="1217" w:type="dxa"/>
            <w:vAlign w:val="center"/>
          </w:tcPr>
          <w:p>
            <w:pPr>
              <w:jc w:val="center"/>
              <w:rPr>
                <w:rFonts w:hint="default" w:ascii="黑体" w:hAnsi="黑体" w:eastAsia="黑体"/>
                <w:b/>
                <w:szCs w:val="21"/>
                <w:lang w:val="en-US" w:eastAsia="zh-CN"/>
              </w:rPr>
            </w:pPr>
            <w:r>
              <w:rPr>
                <w:rFonts w:hint="eastAsia"/>
                <w:b/>
                <w:color w:val="000000"/>
                <w:sz w:val="22"/>
              </w:rPr>
              <w:t>640</w:t>
            </w:r>
          </w:p>
        </w:tc>
        <w:tc>
          <w:tcPr>
            <w:tcW w:w="1217" w:type="dxa"/>
            <w:vAlign w:val="center"/>
          </w:tcPr>
          <w:p>
            <w:pPr>
              <w:jc w:val="center"/>
              <w:rPr>
                <w:rFonts w:hint="default" w:ascii="黑体" w:hAnsi="黑体" w:eastAsia="黑体"/>
                <w:b/>
                <w:szCs w:val="21"/>
                <w:lang w:val="en-US" w:eastAsia="zh-CN"/>
              </w:rPr>
            </w:pPr>
            <w:r>
              <w:rPr>
                <w:rFonts w:hint="eastAsia"/>
                <w:b/>
                <w:color w:val="000000"/>
                <w:sz w:val="22"/>
              </w:rPr>
              <w:t>32</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合计</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1125</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1769</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2894</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149.5</w:t>
            </w:r>
          </w:p>
        </w:tc>
        <w:tc>
          <w:tcPr>
            <w:tcW w:w="1217" w:type="dxa"/>
            <w:vAlign w:val="center"/>
          </w:tcPr>
          <w:p>
            <w:pPr>
              <w:adjustRightInd w:val="0"/>
              <w:spacing w:line="560" w:lineRule="exact"/>
              <w:jc w:val="center"/>
              <w:rPr>
                <w:rFonts w:hint="eastAsia" w:ascii="黑体" w:hAnsi="黑体" w:eastAsia="黑体"/>
                <w:b/>
                <w:szCs w:val="21"/>
                <w:lang w:val="en-US" w:eastAsia="zh-CN"/>
              </w:rPr>
            </w:pPr>
            <w:r>
              <w:rPr>
                <w:rFonts w:hint="eastAsia" w:eastAsia="黑体" w:cs="黑体" w:asciiTheme="majorAscii" w:hAnsiTheme="majorAscii"/>
                <w:b/>
                <w:bCs/>
                <w:sz w:val="22"/>
                <w:szCs w:val="22"/>
                <w:lang w:val="en-US" w:eastAsia="zh-CN"/>
              </w:rPr>
              <w:t>100</w:t>
            </w:r>
            <w:r>
              <w:rPr>
                <w:rFonts w:hint="eastAsia" w:ascii="黑体" w:hAnsi="黑体" w:eastAsia="黑体"/>
                <w:b/>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4" w:type="dxa"/>
            <w:gridSpan w:val="2"/>
            <w:vAlign w:val="center"/>
          </w:tcPr>
          <w:p>
            <w:pPr>
              <w:adjustRightInd w:val="0"/>
              <w:spacing w:line="560" w:lineRule="exact"/>
              <w:jc w:val="center"/>
              <w:rPr>
                <w:rFonts w:ascii="黑体" w:hAnsi="黑体" w:eastAsia="黑体"/>
                <w:b/>
                <w:szCs w:val="21"/>
              </w:rPr>
            </w:pPr>
            <w:r>
              <w:rPr>
                <w:rFonts w:hint="eastAsia" w:ascii="黑体" w:hAnsi="黑体" w:eastAsia="黑体"/>
                <w:b/>
                <w:szCs w:val="21"/>
              </w:rPr>
              <w:t>比例</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38.87%</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ascii="黑体" w:hAnsi="黑体" w:eastAsia="黑体"/>
                <w:b/>
                <w:szCs w:val="21"/>
                <w:lang w:val="en-US" w:eastAsia="zh-CN"/>
              </w:rPr>
              <w:t>61.13%</w:t>
            </w:r>
          </w:p>
        </w:tc>
        <w:tc>
          <w:tcPr>
            <w:tcW w:w="1217" w:type="dxa"/>
            <w:vAlign w:val="center"/>
          </w:tcPr>
          <w:p>
            <w:pPr>
              <w:adjustRightInd w:val="0"/>
              <w:spacing w:line="560" w:lineRule="exact"/>
              <w:jc w:val="center"/>
              <w:rPr>
                <w:rFonts w:hint="default" w:ascii="黑体" w:hAnsi="黑体" w:eastAsia="黑体"/>
                <w:b/>
                <w:szCs w:val="21"/>
                <w:lang w:val="en-US" w:eastAsia="zh-CN"/>
              </w:rPr>
            </w:pPr>
            <w:r>
              <w:rPr>
                <w:rFonts w:hint="eastAsia" w:eastAsia="黑体" w:cs="黑体" w:asciiTheme="majorAscii" w:hAnsiTheme="majorAscii"/>
                <w:b/>
                <w:bCs/>
                <w:sz w:val="22"/>
                <w:szCs w:val="22"/>
                <w:lang w:val="en-US" w:eastAsia="zh-CN"/>
              </w:rPr>
              <w:t>100</w:t>
            </w:r>
            <w:r>
              <w:rPr>
                <w:rFonts w:hint="eastAsia" w:ascii="黑体" w:hAnsi="黑体" w:eastAsia="黑体"/>
                <w:b/>
                <w:szCs w:val="21"/>
                <w:lang w:val="en-US" w:eastAsia="zh-CN"/>
              </w:rPr>
              <w:t>%</w:t>
            </w:r>
          </w:p>
        </w:tc>
        <w:tc>
          <w:tcPr>
            <w:tcW w:w="1217" w:type="dxa"/>
            <w:vAlign w:val="center"/>
          </w:tcPr>
          <w:p>
            <w:pPr>
              <w:adjustRightInd w:val="0"/>
              <w:spacing w:line="560" w:lineRule="exact"/>
              <w:jc w:val="center"/>
              <w:rPr>
                <w:rFonts w:ascii="黑体" w:hAnsi="黑体" w:eastAsia="黑体"/>
                <w:b/>
                <w:szCs w:val="21"/>
              </w:rPr>
            </w:pPr>
          </w:p>
        </w:tc>
        <w:tc>
          <w:tcPr>
            <w:tcW w:w="1217" w:type="dxa"/>
            <w:vAlign w:val="center"/>
          </w:tcPr>
          <w:p>
            <w:pPr>
              <w:adjustRightInd w:val="0"/>
              <w:spacing w:line="560" w:lineRule="exact"/>
              <w:jc w:val="center"/>
              <w:rPr>
                <w:rFonts w:ascii="黑体" w:hAnsi="黑体" w:eastAsia="黑体"/>
                <w:b/>
                <w:szCs w:val="21"/>
              </w:rPr>
            </w:pPr>
          </w:p>
        </w:tc>
      </w:tr>
    </w:tbl>
    <w:p>
      <w:pPr>
        <w:adjustRightInd w:val="0"/>
        <w:spacing w:line="560" w:lineRule="exact"/>
        <w:rPr>
          <w:rFonts w:ascii="黑体" w:hAnsi="黑体" w:eastAsia="黑体"/>
          <w:b/>
          <w:sz w:val="24"/>
          <w:szCs w:val="24"/>
        </w:rPr>
      </w:pPr>
      <w:r>
        <w:rPr>
          <w:rFonts w:hint="eastAsia" w:ascii="黑体" w:hAnsi="黑体" w:eastAsia="黑体"/>
          <w:b/>
          <w:sz w:val="24"/>
          <w:szCs w:val="24"/>
          <w:lang w:eastAsia="zh-CN"/>
        </w:rPr>
        <w:t>九</w:t>
      </w:r>
      <w:r>
        <w:rPr>
          <w:rFonts w:ascii="黑体" w:hAnsi="黑体" w:eastAsia="黑体"/>
          <w:b/>
          <w:sz w:val="24"/>
          <w:szCs w:val="24"/>
        </w:rPr>
        <w:t>、</w:t>
      </w:r>
      <w:r>
        <w:rPr>
          <w:rFonts w:hint="eastAsia" w:ascii="黑体" w:hAnsi="黑体" w:eastAsia="黑体"/>
          <w:b/>
          <w:sz w:val="24"/>
          <w:szCs w:val="24"/>
        </w:rPr>
        <w:t>实施保障</w:t>
      </w:r>
    </w:p>
    <w:p>
      <w:pPr>
        <w:pStyle w:val="28"/>
        <w:numPr>
          <w:ilvl w:val="0"/>
          <w:numId w:val="4"/>
        </w:numPr>
        <w:adjustRightInd w:val="0"/>
        <w:spacing w:line="560" w:lineRule="exact"/>
        <w:ind w:firstLineChars="0"/>
        <w:rPr>
          <w:rFonts w:asciiTheme="minorEastAsia" w:hAnsiTheme="minorEastAsia"/>
          <w:b/>
          <w:sz w:val="24"/>
          <w:szCs w:val="24"/>
        </w:rPr>
      </w:pPr>
      <w:r>
        <w:rPr>
          <w:rFonts w:asciiTheme="minorEastAsia" w:hAnsiTheme="minorEastAsia"/>
          <w:b/>
          <w:sz w:val="24"/>
          <w:szCs w:val="24"/>
        </w:rPr>
        <w:t>师资队伍</w:t>
      </w:r>
    </w:p>
    <w:p>
      <w:pPr>
        <w:pStyle w:val="28"/>
        <w:numPr>
          <w:ilvl w:val="0"/>
          <w:numId w:val="5"/>
        </w:numPr>
        <w:adjustRightInd w:val="0"/>
        <w:spacing w:line="560" w:lineRule="exact"/>
        <w:ind w:firstLineChars="0"/>
        <w:rPr>
          <w:color w:val="000000"/>
          <w:sz w:val="24"/>
        </w:rPr>
      </w:pPr>
      <w:r>
        <w:rPr>
          <w:rFonts w:hint="eastAsia"/>
          <w:color w:val="000000"/>
          <w:sz w:val="24"/>
        </w:rPr>
        <w:t>队伍结构</w:t>
      </w:r>
    </w:p>
    <w:p>
      <w:pPr>
        <w:adjustRightInd w:val="0"/>
        <w:spacing w:line="560" w:lineRule="exact"/>
        <w:ind w:firstLine="480" w:firstLineChars="200"/>
        <w:rPr>
          <w:color w:val="000000"/>
          <w:sz w:val="24"/>
        </w:rPr>
      </w:pPr>
      <w:r>
        <w:rPr>
          <w:rFonts w:hint="eastAsia"/>
          <w:color w:val="000000"/>
          <w:sz w:val="24"/>
        </w:rPr>
        <w:t>本专业共有8名专任教师，师生比为1</w:t>
      </w:r>
      <w:r>
        <w:rPr>
          <w:rFonts w:hint="eastAsia"/>
          <w:color w:val="000000"/>
          <w:sz w:val="24"/>
          <w:lang w:eastAsia="zh-CN"/>
        </w:rPr>
        <w:t>：</w:t>
      </w:r>
      <w:r>
        <w:rPr>
          <w:rFonts w:hint="eastAsia"/>
          <w:color w:val="000000"/>
          <w:sz w:val="24"/>
        </w:rPr>
        <w:t>24，其中高级职称教师3人，中级职称教师5人，双师素质教师为5人，占比62.5%，</w:t>
      </w:r>
      <w:r>
        <w:rPr>
          <w:color w:val="000000"/>
          <w:sz w:val="24"/>
        </w:rPr>
        <w:t>按照</w:t>
      </w:r>
      <w:r>
        <w:rPr>
          <w:rFonts w:hint="eastAsia"/>
          <w:color w:val="000000"/>
          <w:sz w:val="24"/>
        </w:rPr>
        <w:t>“</w:t>
      </w:r>
      <w:r>
        <w:rPr>
          <w:color w:val="000000"/>
          <w:sz w:val="24"/>
        </w:rPr>
        <w:t>稳定、培养、引进、借智</w:t>
      </w:r>
      <w:r>
        <w:rPr>
          <w:rFonts w:hint="eastAsia"/>
          <w:color w:val="000000"/>
          <w:sz w:val="24"/>
        </w:rPr>
        <w:t>”</w:t>
      </w:r>
      <w:r>
        <w:rPr>
          <w:color w:val="000000"/>
          <w:sz w:val="24"/>
        </w:rPr>
        <w:t>的人才队伍建设思路，以全面提高师资队伍素质为中心，以优化结构为重点，优先配置重点专业的师资队伍资源，重点加“双师”素质教师队伍建设。努力建设一支数量足够、专兼结合、结构合理、素质优良,符合高技能人才培养目标要求的”双师型”教师队伍</w:t>
      </w:r>
      <w:r>
        <w:rPr>
          <w:rFonts w:hint="eastAsia"/>
          <w:color w:val="000000"/>
          <w:sz w:val="24"/>
        </w:rPr>
        <w:t>。</w:t>
      </w:r>
    </w:p>
    <w:p>
      <w:pPr>
        <w:pStyle w:val="28"/>
        <w:numPr>
          <w:ilvl w:val="0"/>
          <w:numId w:val="5"/>
        </w:numPr>
        <w:adjustRightInd w:val="0"/>
        <w:spacing w:line="560" w:lineRule="exact"/>
        <w:ind w:firstLineChars="0"/>
        <w:rPr>
          <w:color w:val="000000"/>
          <w:sz w:val="24"/>
        </w:rPr>
      </w:pPr>
      <w:r>
        <w:rPr>
          <w:rFonts w:hint="eastAsia"/>
          <w:color w:val="000000"/>
          <w:sz w:val="24"/>
        </w:rPr>
        <w:t>专任教师</w:t>
      </w:r>
    </w:p>
    <w:p>
      <w:pPr>
        <w:adjustRightInd w:val="0"/>
        <w:spacing w:line="560" w:lineRule="exact"/>
        <w:ind w:firstLine="480" w:firstLineChars="200"/>
        <w:rPr>
          <w:rFonts w:hint="eastAsia"/>
          <w:color w:val="000000"/>
          <w:sz w:val="24"/>
        </w:rPr>
      </w:pPr>
      <w:r>
        <w:rPr>
          <w:rFonts w:hint="eastAsia"/>
          <w:color w:val="000000"/>
          <w:sz w:val="24"/>
        </w:rPr>
        <w:t>本专业专任教师8名，具有高校教师资格；有理想信念、有道德情操、有扎实学识、有仁爱之心；具有工程造价等相关专业本科及以上学历；具有扎实的本专业相关理论功底和实践能力；具有较强信息化教学能力，能够开展课程教学改革和科学研究，每年利用暑假时间选调一批优秀教师进行集中培训或挂职锻炼，提高专业素质，均满足每5年累计不少于6个月的企业实践经历。</w:t>
      </w:r>
    </w:p>
    <w:p>
      <w:pPr>
        <w:pStyle w:val="28"/>
        <w:numPr>
          <w:ilvl w:val="0"/>
          <w:numId w:val="5"/>
        </w:numPr>
        <w:adjustRightInd w:val="0"/>
        <w:spacing w:line="560" w:lineRule="exact"/>
        <w:ind w:firstLineChars="0"/>
        <w:rPr>
          <w:color w:val="000000"/>
          <w:sz w:val="24"/>
        </w:rPr>
      </w:pPr>
      <w:r>
        <w:rPr>
          <w:rFonts w:hint="eastAsia"/>
          <w:color w:val="000000"/>
          <w:sz w:val="24"/>
        </w:rPr>
        <w:t>专业带头人</w:t>
      </w:r>
    </w:p>
    <w:p>
      <w:pPr>
        <w:adjustRightInd w:val="0"/>
        <w:spacing w:line="560" w:lineRule="exact"/>
        <w:ind w:firstLine="480" w:firstLineChars="200"/>
        <w:rPr>
          <w:color w:val="000000"/>
          <w:sz w:val="24"/>
        </w:rPr>
      </w:pPr>
      <w:r>
        <w:rPr>
          <w:rFonts w:hint="eastAsia"/>
          <w:color w:val="000000"/>
          <w:sz w:val="24"/>
        </w:rPr>
        <w:t>本专业专业带头人具备“中级双师”素质，能够较好地把握国内外行业、专业发展，积极广泛联系行业企业，了解行业企业对本专业人才的需求实际，教学设计、专业研究能力强，组织开展教科研工作能力强，在本区域或本领域具有一定的专业影响力。</w:t>
      </w:r>
    </w:p>
    <w:p>
      <w:pPr>
        <w:pStyle w:val="28"/>
        <w:numPr>
          <w:ilvl w:val="0"/>
          <w:numId w:val="5"/>
        </w:numPr>
        <w:adjustRightInd w:val="0"/>
        <w:spacing w:line="560" w:lineRule="exact"/>
        <w:ind w:firstLineChars="0"/>
        <w:rPr>
          <w:color w:val="000000"/>
          <w:sz w:val="24"/>
        </w:rPr>
      </w:pPr>
      <w:r>
        <w:rPr>
          <w:rFonts w:hint="eastAsia"/>
          <w:color w:val="000000"/>
          <w:sz w:val="24"/>
        </w:rPr>
        <w:t>兼职教师</w:t>
      </w:r>
    </w:p>
    <w:p>
      <w:pPr>
        <w:adjustRightInd w:val="0"/>
        <w:spacing w:line="560" w:lineRule="exact"/>
        <w:ind w:firstLine="480" w:firstLineChars="200"/>
        <w:rPr>
          <w:color w:val="000000"/>
          <w:sz w:val="24"/>
        </w:rPr>
      </w:pPr>
      <w:r>
        <w:rPr>
          <w:rFonts w:hint="eastAsia"/>
          <w:color w:val="000000"/>
          <w:sz w:val="24"/>
        </w:rPr>
        <w:t>兼职教师主要来自专业相关企业，有计划、有针对性地聘用行业、企业、科研院所以及生产一线的高级技术人才与高级管理人才担任兼职教师</w:t>
      </w:r>
      <w:r>
        <w:rPr>
          <w:color w:val="000000"/>
          <w:sz w:val="24"/>
        </w:rPr>
        <w:t> </w:t>
      </w:r>
      <w:r>
        <w:rPr>
          <w:rFonts w:hint="eastAsia"/>
          <w:color w:val="000000"/>
          <w:sz w:val="24"/>
        </w:rPr>
        <w:t>。具备良好的思想政治素质、职业道德和工匠精神，具有扎实的专业知识和丰富的实际工作经验，具有中级及以上相关专业职称，能承担专业课程教学、实习实训指导和学生职业发展规划指导等教学任务。</w:t>
      </w:r>
    </w:p>
    <w:p>
      <w:pPr>
        <w:spacing w:line="360" w:lineRule="auto"/>
        <w:ind w:firstLine="480" w:firstLineChars="200"/>
        <w:rPr>
          <w:rFonts w:hint="eastAsia"/>
          <w:color w:val="000000"/>
          <w:sz w:val="24"/>
        </w:rPr>
      </w:pPr>
      <w:r>
        <w:rPr>
          <w:rFonts w:hint="eastAsia"/>
          <w:color w:val="000000"/>
          <w:sz w:val="24"/>
        </w:rPr>
        <w:t>以上形成了一个注重知识结构更新、工作方法创新、不断进取的高素质建筑工程造价教师队伍。</w:t>
      </w:r>
    </w:p>
    <w:p>
      <w:pPr>
        <w:numPr>
          <w:ilvl w:val="0"/>
          <w:numId w:val="6"/>
        </w:numPr>
        <w:adjustRightInd w:val="0"/>
        <w:spacing w:line="560" w:lineRule="exact"/>
        <w:ind w:left="0" w:leftChars="0" w:firstLine="480" w:firstLineChars="200"/>
        <w:rPr>
          <w:rFonts w:hint="eastAsia" w:ascii="宋体" w:hAnsi="宋体"/>
          <w:b/>
          <w:sz w:val="24"/>
          <w:szCs w:val="24"/>
        </w:rPr>
      </w:pPr>
      <w:r>
        <w:rPr>
          <w:rFonts w:hint="eastAsia" w:ascii="宋体" w:hAnsi="宋体"/>
          <w:b/>
          <w:sz w:val="24"/>
          <w:szCs w:val="24"/>
        </w:rPr>
        <w:t>教学设施</w:t>
      </w:r>
    </w:p>
    <w:p>
      <w:pPr>
        <w:spacing w:line="560" w:lineRule="exact"/>
        <w:ind w:firstLine="480" w:firstLineChars="200"/>
        <w:rPr>
          <w:rFonts w:ascii="宋体" w:hAnsi="宋体"/>
          <w:sz w:val="24"/>
          <w:szCs w:val="24"/>
        </w:rPr>
      </w:pPr>
      <w:r>
        <w:rPr>
          <w:rFonts w:hint="eastAsia" w:ascii="宋体" w:hAnsi="宋体"/>
          <w:sz w:val="24"/>
          <w:szCs w:val="24"/>
        </w:rPr>
        <w:t>教学设施主要包括能够满足正常的课程教学、实习实训所需的专业教室、校内实训室和校外实训基地等。</w:t>
      </w:r>
    </w:p>
    <w:p>
      <w:pPr>
        <w:spacing w:line="560" w:lineRule="exact"/>
        <w:ind w:firstLine="480" w:firstLineChars="200"/>
        <w:rPr>
          <w:rFonts w:ascii="宋体" w:hAnsi="宋体"/>
          <w:sz w:val="24"/>
          <w:szCs w:val="24"/>
        </w:rPr>
      </w:pPr>
      <w:r>
        <w:rPr>
          <w:rFonts w:hint="eastAsia" w:ascii="宋体" w:hAnsi="宋体"/>
          <w:sz w:val="24"/>
          <w:szCs w:val="24"/>
        </w:rPr>
        <w:t>1、专业教室基本条件</w:t>
      </w:r>
    </w:p>
    <w:p>
      <w:pPr>
        <w:spacing w:line="560" w:lineRule="exact"/>
        <w:ind w:firstLine="480" w:firstLineChars="200"/>
        <w:rPr>
          <w:rFonts w:ascii="宋体" w:hAnsi="宋体"/>
          <w:sz w:val="24"/>
          <w:szCs w:val="24"/>
        </w:rPr>
      </w:pPr>
      <w:r>
        <w:rPr>
          <w:rFonts w:hint="eastAsia" w:ascii="宋体" w:hAnsi="宋体"/>
          <w:sz w:val="24"/>
          <w:szCs w:val="24"/>
        </w:rPr>
        <w:t>专业教室一般配备黑（白）板、多媒体计算机、投影设备、音响设备、互联网接入或Wi-Fi环境，并实施网络安全防护措施；安装应急照明装置并保持良好状态，符合紧急疏散要求，标志明显，保持逃生通道畅通无阻。</w:t>
      </w:r>
    </w:p>
    <w:p>
      <w:pPr>
        <w:spacing w:line="560" w:lineRule="exact"/>
        <w:ind w:firstLine="480" w:firstLineChars="200"/>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校内实训室基本要求</w:t>
      </w:r>
    </w:p>
    <w:p>
      <w:pPr>
        <w:spacing w:line="360" w:lineRule="auto"/>
        <w:ind w:firstLine="480" w:firstLineChars="200"/>
        <w:rPr>
          <w:color w:val="000000"/>
          <w:sz w:val="24"/>
        </w:rPr>
      </w:pPr>
      <w:r>
        <w:rPr>
          <w:rFonts w:hint="eastAsia"/>
          <w:color w:val="000000"/>
          <w:sz w:val="24"/>
        </w:rPr>
        <w:t>1</w:t>
      </w:r>
      <w:r>
        <w:rPr>
          <w:rFonts w:hint="eastAsia"/>
          <w:color w:val="000000"/>
          <w:sz w:val="24"/>
          <w:lang w:eastAsia="zh-CN"/>
        </w:rPr>
        <w:t>）</w:t>
      </w:r>
      <w:r>
        <w:rPr>
          <w:rFonts w:hint="eastAsia"/>
          <w:color w:val="000000"/>
          <w:sz w:val="24"/>
        </w:rPr>
        <w:t>、建筑工程计量与计价实训室</w:t>
      </w:r>
    </w:p>
    <w:p>
      <w:pPr>
        <w:spacing w:line="360" w:lineRule="auto"/>
        <w:ind w:firstLine="480" w:firstLineChars="200"/>
        <w:rPr>
          <w:color w:val="000000"/>
          <w:sz w:val="24"/>
        </w:rPr>
      </w:pPr>
      <w:r>
        <w:rPr>
          <w:rFonts w:hint="eastAsia"/>
          <w:color w:val="000000"/>
          <w:sz w:val="24"/>
        </w:rPr>
        <w:t>规模：可供80名学生开展实训教学（技能培训、资格考证）</w:t>
      </w:r>
    </w:p>
    <w:p>
      <w:pPr>
        <w:spacing w:line="360" w:lineRule="auto"/>
        <w:ind w:firstLine="480" w:firstLineChars="200"/>
        <w:rPr>
          <w:color w:val="000000"/>
          <w:sz w:val="24"/>
        </w:rPr>
      </w:pPr>
      <w:r>
        <w:rPr>
          <w:rFonts w:hint="eastAsia"/>
          <w:color w:val="000000"/>
          <w:sz w:val="24"/>
        </w:rPr>
        <w:t>功能：使学生掌握清华sweer等工程计价软件的操作方法，训练学生运用常用工程计价软件进行建筑工程预（结）算的能力。</w:t>
      </w:r>
    </w:p>
    <w:p>
      <w:pPr>
        <w:spacing w:line="360" w:lineRule="auto"/>
        <w:ind w:firstLine="480" w:firstLineChars="200"/>
        <w:rPr>
          <w:color w:val="000000"/>
          <w:sz w:val="24"/>
        </w:rPr>
      </w:pPr>
      <w:r>
        <w:rPr>
          <w:rFonts w:hint="eastAsia"/>
          <w:color w:val="000000"/>
          <w:sz w:val="24"/>
        </w:rPr>
        <w:t>主要设备：学生用电脑90台；教师示范用电脑1台；多媒体设备一套；土建工程、安装工程、市政工程、园林工程计价系统；配套建筑工程图纸、市政工程图纸与工程规范资料。</w:t>
      </w:r>
    </w:p>
    <w:p>
      <w:pPr>
        <w:spacing w:line="360" w:lineRule="auto"/>
        <w:ind w:firstLine="480" w:firstLineChars="200"/>
        <w:rPr>
          <w:color w:val="000000"/>
          <w:sz w:val="24"/>
        </w:rPr>
      </w:pPr>
      <w:r>
        <w:rPr>
          <w:rFonts w:hint="eastAsia"/>
          <w:color w:val="000000"/>
          <w:sz w:val="24"/>
        </w:rPr>
        <w:t>2</w:t>
      </w:r>
      <w:r>
        <w:rPr>
          <w:rFonts w:hint="eastAsia"/>
          <w:color w:val="000000"/>
          <w:sz w:val="24"/>
          <w:lang w:eastAsia="zh-CN"/>
        </w:rPr>
        <w:t>）</w:t>
      </w:r>
      <w:r>
        <w:rPr>
          <w:rFonts w:hint="eastAsia"/>
          <w:color w:val="000000"/>
          <w:sz w:val="24"/>
        </w:rPr>
        <w:t>、安装工程计量与计价实训室</w:t>
      </w:r>
    </w:p>
    <w:p>
      <w:pPr>
        <w:spacing w:line="360" w:lineRule="auto"/>
        <w:ind w:firstLine="480" w:firstLineChars="200"/>
        <w:rPr>
          <w:color w:val="000000"/>
          <w:sz w:val="24"/>
        </w:rPr>
      </w:pPr>
      <w:r>
        <w:rPr>
          <w:rFonts w:hint="eastAsia"/>
          <w:color w:val="000000"/>
          <w:sz w:val="24"/>
        </w:rPr>
        <w:t>规模：可供80名学生开展实训教学（技能培训、资格考证）</w:t>
      </w:r>
    </w:p>
    <w:p>
      <w:pPr>
        <w:spacing w:line="360" w:lineRule="auto"/>
        <w:ind w:firstLine="480" w:firstLineChars="200"/>
        <w:rPr>
          <w:color w:val="000000"/>
          <w:sz w:val="24"/>
        </w:rPr>
      </w:pPr>
      <w:r>
        <w:rPr>
          <w:rFonts w:hint="eastAsia"/>
          <w:color w:val="000000"/>
          <w:sz w:val="24"/>
        </w:rPr>
        <w:t>功能：使学生掌握清华sweer等工程计价软件的操作方法，训练学生运用常用工程计价软件进行安装工程预（结）算的能力。</w:t>
      </w:r>
    </w:p>
    <w:p>
      <w:pPr>
        <w:spacing w:line="360" w:lineRule="auto"/>
        <w:ind w:firstLine="480" w:firstLineChars="200"/>
        <w:rPr>
          <w:color w:val="000000"/>
          <w:sz w:val="24"/>
        </w:rPr>
      </w:pPr>
      <w:r>
        <w:rPr>
          <w:rFonts w:hint="eastAsia"/>
          <w:color w:val="000000"/>
          <w:sz w:val="24"/>
        </w:rPr>
        <w:t>主要设备：学生用电脑90台；教师示范用电脑1台；多媒体设备一套；配套安装工程图纸与工程规范资料，市政工程图纸与工程规范资料。</w:t>
      </w:r>
    </w:p>
    <w:p>
      <w:pPr>
        <w:spacing w:line="360" w:lineRule="auto"/>
        <w:ind w:firstLine="480" w:firstLineChars="200"/>
        <w:rPr>
          <w:color w:val="000000"/>
          <w:sz w:val="24"/>
        </w:rPr>
      </w:pPr>
      <w:r>
        <w:rPr>
          <w:rFonts w:hint="eastAsia"/>
          <w:color w:val="000000"/>
          <w:sz w:val="24"/>
        </w:rPr>
        <w:t>3</w:t>
      </w:r>
      <w:r>
        <w:rPr>
          <w:rFonts w:hint="eastAsia"/>
          <w:color w:val="000000"/>
          <w:sz w:val="24"/>
          <w:lang w:eastAsia="zh-CN"/>
        </w:rPr>
        <w:t>）</w:t>
      </w:r>
      <w:r>
        <w:rPr>
          <w:rFonts w:hint="eastAsia"/>
          <w:color w:val="000000"/>
          <w:sz w:val="24"/>
        </w:rPr>
        <w:t>、建筑工程识图与制图实训室（待建）</w:t>
      </w:r>
    </w:p>
    <w:p>
      <w:pPr>
        <w:spacing w:line="360" w:lineRule="auto"/>
        <w:ind w:firstLine="480" w:firstLineChars="200"/>
        <w:rPr>
          <w:color w:val="000000"/>
          <w:sz w:val="24"/>
        </w:rPr>
      </w:pPr>
      <w:r>
        <w:rPr>
          <w:rFonts w:hint="eastAsia"/>
          <w:color w:val="000000"/>
          <w:sz w:val="24"/>
        </w:rPr>
        <w:t>规模：可供60名学生开展现场教学</w:t>
      </w:r>
    </w:p>
    <w:p>
      <w:pPr>
        <w:spacing w:line="360" w:lineRule="auto"/>
        <w:ind w:firstLine="480" w:firstLineChars="200"/>
        <w:rPr>
          <w:color w:val="000000"/>
          <w:sz w:val="24"/>
        </w:rPr>
      </w:pPr>
      <w:r>
        <w:rPr>
          <w:rFonts w:hint="eastAsia"/>
          <w:color w:val="000000"/>
          <w:sz w:val="24"/>
        </w:rPr>
        <w:t>功能：能反映出砖混结构、框架结构、钢结构等结构形式；能反映出常用构件的构造及道路、桥梁的构造；训练学生制图与识图的能力。</w:t>
      </w:r>
    </w:p>
    <w:p>
      <w:pPr>
        <w:spacing w:line="360" w:lineRule="auto"/>
        <w:ind w:firstLine="480" w:firstLineChars="200"/>
        <w:rPr>
          <w:color w:val="000000"/>
          <w:sz w:val="24"/>
        </w:rPr>
      </w:pPr>
      <w:r>
        <w:rPr>
          <w:rFonts w:hint="eastAsia"/>
          <w:color w:val="000000"/>
          <w:sz w:val="24"/>
        </w:rPr>
        <w:t>主要设备：各种房屋建筑模型，道路桥梁模型；绘图工具；配套建筑工程图纸与工程规范资料，市政工程图纸与工程规范资料。</w:t>
      </w:r>
    </w:p>
    <w:p>
      <w:pPr>
        <w:spacing w:line="360" w:lineRule="auto"/>
        <w:ind w:firstLine="480" w:firstLineChars="200"/>
        <w:rPr>
          <w:color w:val="000000"/>
          <w:sz w:val="24"/>
        </w:rPr>
      </w:pPr>
      <w:r>
        <w:rPr>
          <w:rFonts w:hint="eastAsia"/>
          <w:color w:val="000000"/>
          <w:sz w:val="24"/>
        </w:rPr>
        <w:t>4</w:t>
      </w:r>
      <w:r>
        <w:rPr>
          <w:rFonts w:hint="eastAsia"/>
          <w:color w:val="000000"/>
          <w:sz w:val="24"/>
          <w:lang w:eastAsia="zh-CN"/>
        </w:rPr>
        <w:t>）</w:t>
      </w:r>
      <w:r>
        <w:rPr>
          <w:rFonts w:hint="eastAsia"/>
          <w:color w:val="000000"/>
          <w:sz w:val="24"/>
        </w:rPr>
        <w:t>、工程测量实训室</w:t>
      </w:r>
    </w:p>
    <w:p>
      <w:pPr>
        <w:spacing w:line="360" w:lineRule="auto"/>
        <w:ind w:firstLine="480" w:firstLineChars="200"/>
        <w:rPr>
          <w:color w:val="000000"/>
          <w:sz w:val="24"/>
        </w:rPr>
      </w:pPr>
      <w:r>
        <w:rPr>
          <w:rFonts w:hint="eastAsia"/>
          <w:color w:val="000000"/>
          <w:sz w:val="24"/>
        </w:rPr>
        <w:t>建筑规模：可供60名学生技能培训</w:t>
      </w:r>
    </w:p>
    <w:p>
      <w:pPr>
        <w:spacing w:line="360" w:lineRule="auto"/>
        <w:ind w:firstLine="480" w:firstLineChars="200"/>
        <w:rPr>
          <w:color w:val="000000"/>
          <w:sz w:val="24"/>
        </w:rPr>
      </w:pPr>
      <w:r>
        <w:rPr>
          <w:rFonts w:hint="eastAsia"/>
          <w:color w:val="000000"/>
          <w:sz w:val="24"/>
        </w:rPr>
        <w:t>功能：培训学生正确使用水准仪、经纬仪、全站仪等测量仪器，进行定位、放线、找平</w:t>
      </w:r>
    </w:p>
    <w:p>
      <w:pPr>
        <w:spacing w:line="360" w:lineRule="auto"/>
        <w:ind w:firstLine="480" w:firstLineChars="200"/>
        <w:rPr>
          <w:color w:val="000000"/>
          <w:sz w:val="24"/>
        </w:rPr>
      </w:pPr>
      <w:r>
        <w:rPr>
          <w:rFonts w:hint="eastAsia"/>
          <w:color w:val="000000"/>
          <w:sz w:val="24"/>
        </w:rPr>
        <w:t>主要设备：水准仪24台、经纬仪20台、全站仪10台、GPS-RTK5台套。</w:t>
      </w:r>
    </w:p>
    <w:p>
      <w:pPr>
        <w:spacing w:line="360" w:lineRule="auto"/>
        <w:ind w:firstLine="480" w:firstLineChars="200"/>
        <w:rPr>
          <w:color w:val="000000"/>
          <w:sz w:val="24"/>
        </w:rPr>
      </w:pPr>
      <w:r>
        <w:rPr>
          <w:rFonts w:hint="eastAsia"/>
          <w:color w:val="000000"/>
          <w:sz w:val="24"/>
          <w:lang w:val="en-US" w:eastAsia="zh-CN"/>
        </w:rPr>
        <w:t>3、</w:t>
      </w:r>
      <w:r>
        <w:rPr>
          <w:rFonts w:hint="eastAsia"/>
          <w:color w:val="000000"/>
          <w:sz w:val="24"/>
        </w:rPr>
        <w:t>校外实训基地建设：</w:t>
      </w:r>
    </w:p>
    <w:p>
      <w:pPr>
        <w:spacing w:line="360" w:lineRule="auto"/>
        <w:ind w:firstLine="600" w:firstLineChars="250"/>
        <w:rPr>
          <w:bCs/>
          <w:color w:val="000000"/>
          <w:sz w:val="24"/>
        </w:rPr>
      </w:pPr>
      <w:r>
        <w:rPr>
          <w:rFonts w:hint="eastAsia"/>
          <w:bCs/>
          <w:color w:val="000000"/>
          <w:sz w:val="24"/>
        </w:rPr>
        <w:t>1</w:t>
      </w:r>
      <w:r>
        <w:rPr>
          <w:rFonts w:hint="eastAsia"/>
          <w:bCs/>
          <w:color w:val="000000"/>
          <w:sz w:val="24"/>
          <w:lang w:eastAsia="zh-CN"/>
        </w:rPr>
        <w:t>）</w:t>
      </w:r>
      <w:r>
        <w:rPr>
          <w:rFonts w:hint="eastAsia"/>
          <w:bCs/>
          <w:color w:val="000000"/>
          <w:sz w:val="24"/>
        </w:rPr>
        <w:t>、铜陵广厦建筑安装有限责任公司实训基地</w:t>
      </w:r>
    </w:p>
    <w:p>
      <w:pPr>
        <w:spacing w:line="360" w:lineRule="auto"/>
        <w:ind w:firstLine="600" w:firstLineChars="250"/>
        <w:rPr>
          <w:bCs/>
          <w:color w:val="000000"/>
          <w:sz w:val="24"/>
        </w:rPr>
      </w:pPr>
      <w:r>
        <w:rPr>
          <w:rFonts w:hint="eastAsia"/>
          <w:bCs/>
          <w:color w:val="000000"/>
          <w:sz w:val="24"/>
        </w:rPr>
        <w:t>规模：可供15人/次实训教学</w:t>
      </w:r>
    </w:p>
    <w:p>
      <w:pPr>
        <w:spacing w:line="360" w:lineRule="auto"/>
        <w:ind w:firstLine="600" w:firstLineChars="250"/>
        <w:rPr>
          <w:bCs/>
          <w:color w:val="000000"/>
          <w:sz w:val="24"/>
        </w:rPr>
      </w:pPr>
      <w:r>
        <w:rPr>
          <w:rFonts w:hint="eastAsia"/>
          <w:bCs/>
          <w:color w:val="000000"/>
          <w:sz w:val="24"/>
        </w:rPr>
        <w:t>功能：为学生提供建筑施工、工程计量计价课程实训和顶岗实训。</w:t>
      </w:r>
    </w:p>
    <w:p>
      <w:pPr>
        <w:spacing w:line="360" w:lineRule="auto"/>
        <w:ind w:firstLine="600" w:firstLineChars="250"/>
        <w:rPr>
          <w:bCs/>
          <w:color w:val="000000"/>
          <w:sz w:val="24"/>
        </w:rPr>
      </w:pPr>
      <w:r>
        <w:rPr>
          <w:rFonts w:hint="eastAsia"/>
          <w:bCs/>
          <w:color w:val="000000"/>
          <w:sz w:val="24"/>
        </w:rPr>
        <w:t>2</w:t>
      </w:r>
      <w:r>
        <w:rPr>
          <w:rFonts w:hint="eastAsia"/>
          <w:bCs/>
          <w:color w:val="000000"/>
          <w:sz w:val="24"/>
          <w:lang w:eastAsia="zh-CN"/>
        </w:rPr>
        <w:t>）</w:t>
      </w:r>
      <w:r>
        <w:rPr>
          <w:rFonts w:hint="eastAsia"/>
          <w:bCs/>
          <w:color w:val="000000"/>
          <w:sz w:val="24"/>
        </w:rPr>
        <w:t>、铜陵市铜冠房地产公司实训基地</w:t>
      </w:r>
    </w:p>
    <w:p>
      <w:pPr>
        <w:spacing w:line="360" w:lineRule="auto"/>
        <w:ind w:firstLine="600" w:firstLineChars="250"/>
        <w:rPr>
          <w:bCs/>
          <w:color w:val="000000"/>
          <w:sz w:val="24"/>
        </w:rPr>
      </w:pPr>
      <w:r>
        <w:rPr>
          <w:rFonts w:hint="eastAsia"/>
          <w:bCs/>
          <w:color w:val="000000"/>
          <w:sz w:val="24"/>
        </w:rPr>
        <w:t>规模：可供20人/次实训教学</w:t>
      </w:r>
    </w:p>
    <w:p>
      <w:pPr>
        <w:spacing w:line="360" w:lineRule="auto"/>
        <w:ind w:firstLine="600" w:firstLineChars="250"/>
        <w:rPr>
          <w:bCs/>
          <w:color w:val="000000"/>
          <w:sz w:val="24"/>
        </w:rPr>
      </w:pPr>
      <w:r>
        <w:rPr>
          <w:rFonts w:hint="eastAsia"/>
          <w:bCs/>
          <w:color w:val="000000"/>
          <w:sz w:val="24"/>
        </w:rPr>
        <w:t>功能：为学生提供建筑工程计量计价课程实训和顶岗实训。</w:t>
      </w:r>
    </w:p>
    <w:p>
      <w:pPr>
        <w:spacing w:line="360" w:lineRule="auto"/>
        <w:ind w:firstLine="600" w:firstLineChars="250"/>
        <w:rPr>
          <w:bCs/>
          <w:color w:val="000000"/>
          <w:sz w:val="24"/>
        </w:rPr>
      </w:pPr>
      <w:r>
        <w:rPr>
          <w:rFonts w:hint="eastAsia"/>
          <w:bCs/>
          <w:color w:val="000000"/>
          <w:sz w:val="24"/>
        </w:rPr>
        <w:t>3</w:t>
      </w:r>
      <w:r>
        <w:rPr>
          <w:rFonts w:hint="eastAsia"/>
          <w:bCs/>
          <w:color w:val="000000"/>
          <w:sz w:val="24"/>
          <w:lang w:eastAsia="zh-CN"/>
        </w:rPr>
        <w:t>）</w:t>
      </w:r>
      <w:r>
        <w:rPr>
          <w:rFonts w:hint="eastAsia"/>
          <w:bCs/>
          <w:color w:val="000000"/>
          <w:sz w:val="24"/>
        </w:rPr>
        <w:t>. 铜陵市蓝天造价事务所实训基地</w:t>
      </w:r>
    </w:p>
    <w:p>
      <w:pPr>
        <w:spacing w:line="360" w:lineRule="auto"/>
        <w:ind w:firstLine="600" w:firstLineChars="250"/>
        <w:rPr>
          <w:bCs/>
          <w:color w:val="000000"/>
          <w:sz w:val="24"/>
        </w:rPr>
      </w:pPr>
      <w:r>
        <w:rPr>
          <w:rFonts w:hint="eastAsia"/>
          <w:bCs/>
          <w:color w:val="000000"/>
          <w:sz w:val="24"/>
        </w:rPr>
        <w:t>规模：可供15人/次实训教学</w:t>
      </w:r>
    </w:p>
    <w:p>
      <w:pPr>
        <w:spacing w:line="360" w:lineRule="auto"/>
        <w:ind w:firstLine="600" w:firstLineChars="250"/>
        <w:rPr>
          <w:bCs/>
          <w:color w:val="000000"/>
          <w:sz w:val="24"/>
        </w:rPr>
      </w:pPr>
      <w:r>
        <w:rPr>
          <w:rFonts w:hint="eastAsia"/>
          <w:bCs/>
          <w:color w:val="000000"/>
          <w:sz w:val="24"/>
        </w:rPr>
        <w:t>功能：为学生提供建筑工程计量计价课程实训和顶岗实训。</w:t>
      </w:r>
    </w:p>
    <w:p>
      <w:pPr>
        <w:spacing w:line="360" w:lineRule="auto"/>
        <w:ind w:firstLine="600" w:firstLineChars="250"/>
        <w:rPr>
          <w:bCs/>
          <w:color w:val="000000"/>
          <w:sz w:val="24"/>
        </w:rPr>
      </w:pPr>
      <w:r>
        <w:rPr>
          <w:rFonts w:hint="eastAsia"/>
          <w:bCs/>
          <w:color w:val="000000"/>
          <w:sz w:val="24"/>
        </w:rPr>
        <w:t>4</w:t>
      </w:r>
      <w:r>
        <w:rPr>
          <w:rFonts w:hint="eastAsia"/>
          <w:bCs/>
          <w:color w:val="000000"/>
          <w:sz w:val="24"/>
          <w:lang w:eastAsia="zh-CN"/>
        </w:rPr>
        <w:t>）</w:t>
      </w:r>
      <w:r>
        <w:rPr>
          <w:rFonts w:hint="eastAsia"/>
          <w:bCs/>
          <w:color w:val="000000"/>
          <w:sz w:val="24"/>
        </w:rPr>
        <w:t>. 有色鑫铜监理公司实训基地</w:t>
      </w:r>
    </w:p>
    <w:p>
      <w:pPr>
        <w:spacing w:line="360" w:lineRule="auto"/>
        <w:ind w:firstLine="600" w:firstLineChars="250"/>
        <w:rPr>
          <w:bCs/>
          <w:color w:val="000000"/>
          <w:sz w:val="24"/>
        </w:rPr>
      </w:pPr>
      <w:r>
        <w:rPr>
          <w:rFonts w:hint="eastAsia"/>
          <w:bCs/>
          <w:color w:val="000000"/>
          <w:sz w:val="24"/>
        </w:rPr>
        <w:t>规模：可供30人/次实训教学</w:t>
      </w:r>
    </w:p>
    <w:p>
      <w:pPr>
        <w:spacing w:line="360" w:lineRule="auto"/>
        <w:ind w:firstLine="600" w:firstLineChars="250"/>
        <w:rPr>
          <w:bCs/>
          <w:color w:val="000000"/>
          <w:sz w:val="24"/>
        </w:rPr>
      </w:pPr>
      <w:r>
        <w:rPr>
          <w:rFonts w:hint="eastAsia"/>
          <w:bCs/>
          <w:color w:val="000000"/>
          <w:sz w:val="24"/>
        </w:rPr>
        <w:t>功能：为学生提供建筑工程施工课程实训、建设工程监理课程实训、暑期实境训练和顶岗实训。</w:t>
      </w:r>
    </w:p>
    <w:p>
      <w:pPr>
        <w:spacing w:line="360" w:lineRule="auto"/>
        <w:ind w:firstLine="600" w:firstLineChars="250"/>
        <w:rPr>
          <w:bCs/>
          <w:color w:val="000000"/>
          <w:sz w:val="24"/>
        </w:rPr>
      </w:pPr>
      <w:r>
        <w:rPr>
          <w:rFonts w:hint="eastAsia"/>
          <w:bCs/>
          <w:color w:val="000000"/>
          <w:sz w:val="24"/>
        </w:rPr>
        <w:t>5</w:t>
      </w:r>
      <w:r>
        <w:rPr>
          <w:rFonts w:hint="eastAsia"/>
          <w:bCs/>
          <w:color w:val="000000"/>
          <w:sz w:val="24"/>
          <w:lang w:eastAsia="zh-CN"/>
        </w:rPr>
        <w:t>）</w:t>
      </w:r>
      <w:r>
        <w:rPr>
          <w:rFonts w:hint="eastAsia"/>
          <w:bCs/>
          <w:color w:val="000000"/>
          <w:sz w:val="24"/>
        </w:rPr>
        <w:t>. 铜冠有色建筑安装公司实训基地</w:t>
      </w:r>
    </w:p>
    <w:p>
      <w:pPr>
        <w:spacing w:line="360" w:lineRule="auto"/>
        <w:ind w:firstLine="600" w:firstLineChars="250"/>
        <w:rPr>
          <w:bCs/>
          <w:color w:val="000000"/>
          <w:sz w:val="24"/>
        </w:rPr>
      </w:pPr>
      <w:r>
        <w:rPr>
          <w:rFonts w:hint="eastAsia"/>
          <w:bCs/>
          <w:color w:val="000000"/>
          <w:sz w:val="24"/>
        </w:rPr>
        <w:t>规模：可供20人/次实训教学</w:t>
      </w:r>
    </w:p>
    <w:p>
      <w:pPr>
        <w:spacing w:line="360" w:lineRule="auto"/>
        <w:ind w:firstLine="600" w:firstLineChars="250"/>
        <w:rPr>
          <w:bCs/>
          <w:color w:val="000000"/>
          <w:sz w:val="24"/>
        </w:rPr>
      </w:pPr>
      <w:r>
        <w:rPr>
          <w:rFonts w:hint="eastAsia"/>
          <w:bCs/>
          <w:color w:val="000000"/>
          <w:sz w:val="24"/>
        </w:rPr>
        <w:t>功能：为学生提供建筑工程施工、建筑施工组织管理、暑期实境训练和顶岗实训。</w:t>
      </w:r>
    </w:p>
    <w:p>
      <w:pPr>
        <w:spacing w:line="360" w:lineRule="auto"/>
        <w:ind w:firstLine="600" w:firstLineChars="250"/>
        <w:rPr>
          <w:bCs/>
          <w:color w:val="000000"/>
          <w:sz w:val="24"/>
        </w:rPr>
      </w:pPr>
      <w:r>
        <w:rPr>
          <w:rFonts w:hint="eastAsia"/>
          <w:bCs/>
          <w:color w:val="000000"/>
          <w:sz w:val="24"/>
        </w:rPr>
        <w:t>6</w:t>
      </w:r>
      <w:r>
        <w:rPr>
          <w:rFonts w:hint="eastAsia"/>
          <w:bCs/>
          <w:color w:val="000000"/>
          <w:sz w:val="24"/>
          <w:lang w:eastAsia="zh-CN"/>
        </w:rPr>
        <w:t>）</w:t>
      </w:r>
      <w:r>
        <w:rPr>
          <w:rFonts w:hint="eastAsia"/>
          <w:bCs/>
          <w:color w:val="000000"/>
          <w:sz w:val="24"/>
        </w:rPr>
        <w:t>. 铜冠有色建筑安装公司工程质量监督检测中心实训基地</w:t>
      </w:r>
    </w:p>
    <w:p>
      <w:pPr>
        <w:spacing w:line="360" w:lineRule="auto"/>
        <w:ind w:firstLine="600" w:firstLineChars="250"/>
        <w:rPr>
          <w:bCs/>
          <w:color w:val="000000"/>
          <w:sz w:val="24"/>
        </w:rPr>
      </w:pPr>
      <w:r>
        <w:rPr>
          <w:rFonts w:hint="eastAsia"/>
          <w:bCs/>
          <w:color w:val="000000"/>
          <w:sz w:val="24"/>
        </w:rPr>
        <w:t>规模：可供30人/次实训教学</w:t>
      </w:r>
    </w:p>
    <w:p>
      <w:pPr>
        <w:spacing w:line="360" w:lineRule="auto"/>
        <w:ind w:firstLine="600" w:firstLineChars="250"/>
        <w:rPr>
          <w:bCs/>
          <w:color w:val="000000"/>
          <w:sz w:val="24"/>
        </w:rPr>
      </w:pPr>
      <w:r>
        <w:rPr>
          <w:rFonts w:hint="eastAsia"/>
          <w:bCs/>
          <w:color w:val="000000"/>
          <w:sz w:val="24"/>
        </w:rPr>
        <w:t>功能：为学生提供建筑材料检测课程的参观和顶岗实训，主要给学生观看材料检测实验和具体顶岗体验</w:t>
      </w:r>
    </w:p>
    <w:p>
      <w:pPr>
        <w:spacing w:line="360" w:lineRule="auto"/>
        <w:ind w:firstLine="600" w:firstLineChars="250"/>
        <w:rPr>
          <w:bCs/>
          <w:color w:val="000000"/>
          <w:sz w:val="24"/>
        </w:rPr>
      </w:pPr>
      <w:r>
        <w:rPr>
          <w:rFonts w:hint="eastAsia"/>
          <w:bCs/>
          <w:color w:val="000000"/>
          <w:sz w:val="24"/>
        </w:rPr>
        <w:t>7</w:t>
      </w:r>
      <w:r>
        <w:rPr>
          <w:rFonts w:hint="eastAsia"/>
          <w:bCs/>
          <w:color w:val="000000"/>
          <w:sz w:val="24"/>
          <w:lang w:eastAsia="zh-CN"/>
        </w:rPr>
        <w:t>）</w:t>
      </w:r>
      <w:r>
        <w:rPr>
          <w:rFonts w:hint="eastAsia"/>
          <w:bCs/>
          <w:color w:val="000000"/>
          <w:sz w:val="24"/>
        </w:rPr>
        <w:t>. 铜陵建鑫集团实训基地</w:t>
      </w:r>
    </w:p>
    <w:p>
      <w:pPr>
        <w:spacing w:line="360" w:lineRule="auto"/>
        <w:ind w:firstLine="600" w:firstLineChars="250"/>
        <w:rPr>
          <w:bCs/>
          <w:color w:val="000000"/>
          <w:sz w:val="24"/>
        </w:rPr>
      </w:pPr>
      <w:r>
        <w:rPr>
          <w:rFonts w:hint="eastAsia"/>
          <w:bCs/>
          <w:color w:val="000000"/>
          <w:sz w:val="24"/>
        </w:rPr>
        <w:t>规模：可供10人/次实训教学</w:t>
      </w:r>
    </w:p>
    <w:p>
      <w:pPr>
        <w:spacing w:line="360" w:lineRule="auto"/>
        <w:ind w:firstLine="600" w:firstLineChars="250"/>
        <w:rPr>
          <w:rFonts w:hint="default" w:eastAsiaTheme="minorEastAsia"/>
          <w:bCs/>
          <w:color w:val="000000"/>
          <w:sz w:val="24"/>
          <w:lang w:val="en-US" w:eastAsia="zh-CN"/>
        </w:rPr>
      </w:pPr>
      <w:r>
        <w:rPr>
          <w:rFonts w:hint="eastAsia"/>
          <w:bCs/>
          <w:color w:val="000000"/>
          <w:sz w:val="24"/>
        </w:rPr>
        <w:t>功能：为学生提供建筑施工工程、计量计价课程实训和顶岗实训。</w:t>
      </w:r>
    </w:p>
    <w:p>
      <w:pPr>
        <w:adjustRightInd w:val="0"/>
        <w:spacing w:line="560" w:lineRule="exact"/>
        <w:ind w:firstLine="480" w:firstLineChars="200"/>
        <w:rPr>
          <w:rFonts w:asciiTheme="minorEastAsia" w:hAnsiTheme="minorEastAsia"/>
          <w:b/>
          <w:sz w:val="24"/>
          <w:szCs w:val="24"/>
        </w:rPr>
      </w:pPr>
      <w:r>
        <w:rPr>
          <w:rFonts w:hint="eastAsia" w:asciiTheme="minorEastAsia" w:hAnsiTheme="minorEastAsia"/>
          <w:b/>
          <w:sz w:val="24"/>
          <w:szCs w:val="24"/>
        </w:rPr>
        <w:t>（三）教学资源</w:t>
      </w:r>
    </w:p>
    <w:p>
      <w:pPr>
        <w:numPr>
          <w:ilvl w:val="0"/>
          <w:numId w:val="0"/>
        </w:numPr>
        <w:adjustRightInd w:val="0"/>
        <w:spacing w:line="560" w:lineRule="exact"/>
        <w:ind w:left="0" w:leftChars="0" w:firstLine="420" w:firstLineChars="175"/>
        <w:rPr>
          <w:rFonts w:hint="eastAsia" w:ascii="宋体" w:hAnsi="宋体"/>
          <w:sz w:val="24"/>
          <w:szCs w:val="24"/>
        </w:rPr>
      </w:pPr>
      <w:r>
        <w:rPr>
          <w:rFonts w:hint="eastAsia" w:ascii="宋体" w:hAnsi="宋体"/>
          <w:sz w:val="24"/>
          <w:szCs w:val="24"/>
        </w:rPr>
        <w:t>教学资源主要包括能够满足学生专业学习、教师专业教学研究和教学实施所需的教材、图书文献及数字教学资源等。</w:t>
      </w:r>
    </w:p>
    <w:p>
      <w:pPr>
        <w:numPr>
          <w:ilvl w:val="0"/>
          <w:numId w:val="0"/>
        </w:numPr>
        <w:adjustRightInd w:val="0"/>
        <w:spacing w:line="560" w:lineRule="exact"/>
        <w:ind w:left="0" w:leftChars="0" w:firstLine="420" w:firstLineChars="175"/>
        <w:rPr>
          <w:rFonts w:hint="default" w:ascii="宋体" w:hAnsi="宋体"/>
          <w:sz w:val="24"/>
          <w:szCs w:val="24"/>
          <w:lang w:val="en-US" w:eastAsia="zh-CN"/>
        </w:rPr>
      </w:pPr>
      <w:r>
        <w:rPr>
          <w:rFonts w:hint="eastAsia" w:ascii="宋体" w:hAnsi="宋体"/>
          <w:sz w:val="24"/>
          <w:szCs w:val="24"/>
          <w:lang w:val="en-US" w:eastAsia="zh-CN"/>
        </w:rPr>
        <w:t>优先选用高职高专国家规划教材、</w:t>
      </w:r>
      <w:r>
        <w:rPr>
          <w:rFonts w:hint="eastAsia" w:ascii="宋体" w:hAnsi="宋体"/>
          <w:sz w:val="24"/>
          <w:szCs w:val="24"/>
        </w:rPr>
        <w:t>省级规划教材，完 善教材选用制度，</w:t>
      </w:r>
      <w:r>
        <w:rPr>
          <w:rFonts w:hint="eastAsia" w:ascii="宋体" w:hAnsi="宋体"/>
          <w:sz w:val="24"/>
          <w:szCs w:val="24"/>
          <w:lang w:val="en-US" w:eastAsia="zh-CN"/>
        </w:rPr>
        <w:t>采购与本专业教学相关的</w:t>
      </w:r>
      <w:r>
        <w:rPr>
          <w:rFonts w:hint="eastAsia" w:ascii="宋体" w:hAnsi="宋体"/>
          <w:sz w:val="24"/>
          <w:szCs w:val="24"/>
        </w:rPr>
        <w:t>音视频素材、教学课件、案例库、虚拟仿真软件、数字教材等，要求形式多样、使用便捷</w:t>
      </w:r>
      <w:r>
        <w:rPr>
          <w:rFonts w:hint="eastAsia" w:ascii="宋体" w:hAnsi="宋体"/>
          <w:sz w:val="24"/>
          <w:szCs w:val="24"/>
          <w:lang w:eastAsia="zh-CN"/>
        </w:rPr>
        <w:t>。</w:t>
      </w:r>
      <w:r>
        <w:rPr>
          <w:rFonts w:hint="eastAsia" w:ascii="宋体" w:hAnsi="宋体"/>
          <w:sz w:val="24"/>
          <w:szCs w:val="24"/>
          <w:lang w:val="en-US" w:eastAsia="zh-CN"/>
        </w:rPr>
        <w:t>鼓励教师通过在工程现场录制教学视频，或自己动手制作形象生动的微课视频，丰富课堂教学内容。</w:t>
      </w:r>
      <w:r>
        <w:rPr>
          <w:rFonts w:hint="eastAsia"/>
          <w:color w:val="000000"/>
          <w:sz w:val="24"/>
        </w:rPr>
        <w:t>在教材建设方面，选择教育部高职高专“十二五”规划教材及国家现行规范、图集，鼓励与企业行业专家合作，依据课程的整体设计编写理论实践一体化教材。遵循教学资源完整与有效的原则，配套课程标准、学习情境设计、单元教学设计，配套教学课件、任务演示和教学录像等教学资源。</w:t>
      </w:r>
    </w:p>
    <w:p>
      <w:p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b/>
          <w:sz w:val="24"/>
          <w:szCs w:val="24"/>
        </w:rPr>
        <w:t>（四）教学方法</w:t>
      </w:r>
    </w:p>
    <w:p>
      <w:pPr>
        <w:spacing w:line="360" w:lineRule="auto"/>
        <w:ind w:firstLine="480" w:firstLineChars="200"/>
        <w:rPr>
          <w:rFonts w:hint="eastAsia"/>
          <w:color w:val="000000"/>
          <w:sz w:val="24"/>
        </w:rPr>
      </w:pPr>
      <w:r>
        <w:rPr>
          <w:rFonts w:hint="eastAsia"/>
          <w:color w:val="000000"/>
          <w:sz w:val="24"/>
        </w:rPr>
        <w:t>在教学内容方面，首先，要针对工程计价依据</w:t>
      </w:r>
      <w:r>
        <w:rPr>
          <w:color w:val="000000"/>
          <w:sz w:val="24"/>
        </w:rPr>
        <w:t>等</w:t>
      </w:r>
      <w:r>
        <w:rPr>
          <w:rFonts w:hint="eastAsia"/>
          <w:color w:val="000000"/>
          <w:sz w:val="24"/>
        </w:rPr>
        <w:t>专业基础课程，制定并严格实施课程标准；其次，</w:t>
      </w:r>
      <w:r>
        <w:rPr>
          <w:color w:val="000000"/>
          <w:sz w:val="24"/>
        </w:rPr>
        <w:t>以“重视基础，拓宽口径，强化实践，提高素质”为原则，</w:t>
      </w:r>
      <w:r>
        <w:rPr>
          <w:rFonts w:hint="eastAsia"/>
          <w:color w:val="000000"/>
          <w:sz w:val="24"/>
        </w:rPr>
        <w:t>突出教学内容的实用性，</w:t>
      </w:r>
      <w:r>
        <w:rPr>
          <w:color w:val="000000"/>
          <w:sz w:val="24"/>
        </w:rPr>
        <w:t>重点培养学生的</w:t>
      </w:r>
      <w:r>
        <w:rPr>
          <w:rFonts w:hint="eastAsia"/>
          <w:color w:val="000000"/>
          <w:sz w:val="24"/>
        </w:rPr>
        <w:t>专业技能</w:t>
      </w:r>
      <w:r>
        <w:rPr>
          <w:color w:val="000000"/>
          <w:sz w:val="24"/>
        </w:rPr>
        <w:t>及综合处理实际问题</w:t>
      </w:r>
      <w:r>
        <w:rPr>
          <w:rFonts w:hint="eastAsia"/>
          <w:color w:val="000000"/>
          <w:sz w:val="24"/>
        </w:rPr>
        <w:t>的</w:t>
      </w:r>
      <w:r>
        <w:rPr>
          <w:color w:val="000000"/>
          <w:sz w:val="24"/>
        </w:rPr>
        <w:t>能力</w:t>
      </w:r>
      <w:r>
        <w:rPr>
          <w:rFonts w:hint="eastAsia"/>
          <w:color w:val="000000"/>
          <w:sz w:val="24"/>
        </w:rPr>
        <w:t>。</w:t>
      </w:r>
    </w:p>
    <w:p>
      <w:pPr>
        <w:spacing w:line="360" w:lineRule="auto"/>
        <w:ind w:firstLine="480" w:firstLineChars="200"/>
        <w:rPr>
          <w:rFonts w:hint="eastAsia"/>
          <w:color w:val="000000"/>
          <w:sz w:val="24"/>
        </w:rPr>
      </w:pPr>
      <w:r>
        <w:rPr>
          <w:rFonts w:hint="eastAsia"/>
          <w:color w:val="000000"/>
          <w:sz w:val="24"/>
        </w:rPr>
        <w:t>在教学过程中，以一个完整的工程为背景，实施</w:t>
      </w:r>
      <w:r>
        <w:rPr>
          <w:color w:val="000000"/>
          <w:sz w:val="24"/>
        </w:rPr>
        <w:t>“</w:t>
      </w:r>
      <w:r>
        <w:rPr>
          <w:rFonts w:hint="eastAsia"/>
          <w:color w:val="000000"/>
          <w:sz w:val="24"/>
        </w:rPr>
        <w:t>业务流程一体化</w:t>
      </w:r>
      <w:r>
        <w:rPr>
          <w:color w:val="000000"/>
          <w:sz w:val="24"/>
        </w:rPr>
        <w:t>”</w:t>
      </w:r>
      <w:r>
        <w:rPr>
          <w:rFonts w:hint="eastAsia"/>
          <w:color w:val="000000"/>
          <w:sz w:val="24"/>
        </w:rPr>
        <w:t>教学，要求学生在看懂图纸的基础上了解各分部工程的施工方法及施工工艺，进而计算各分部工程的工程量并查定额取费得出工程造价。</w:t>
      </w:r>
    </w:p>
    <w:p>
      <w:pPr>
        <w:numPr>
          <w:ilvl w:val="0"/>
          <w:numId w:val="7"/>
        </w:num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b/>
          <w:sz w:val="24"/>
          <w:szCs w:val="24"/>
        </w:rPr>
        <w:t>教学评价</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考试形式多元化。采用“多元化”考试形式，各门课程要依据课程特点确定考试形式。在教学进程中分阶段对学生进行考核，加大过程性评价的比例，可采用随堂考试、分阶段测试、知识在线测试和学期考试相结合，考试题型和方法可多样化，通过单元（阶段）测试、课程设计、调查（分析）报告、读书笔记、案例分析、实验操作和技术技能演示等考查学生对已学内容的掌握情况。</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2、考试方法可分为笔试、实践、网考、考证、技能竞赛、项目测试、课程设计、调研报告、读书笔记、案例分析、实训报告、作品、实习报告等。</w:t>
      </w:r>
    </w:p>
    <w:p>
      <w:p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b/>
          <w:sz w:val="24"/>
          <w:szCs w:val="24"/>
        </w:rPr>
        <w:t>（六）质量管理</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1、学校和系部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2、学校和系部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3、学校应建立毕业生跟踪反馈机制及社会评价机制，并对生源情况、在校生学业水平、毕业生就业情况等进行分析，定期评价人才培养质量和培养目标达成情况。</w:t>
      </w:r>
    </w:p>
    <w:p>
      <w:pPr>
        <w:adjustRightInd w:val="0"/>
        <w:spacing w:line="560" w:lineRule="exact"/>
        <w:ind w:firstLine="480" w:firstLineChars="200"/>
        <w:rPr>
          <w:rFonts w:hint="eastAsia" w:asciiTheme="minorEastAsia" w:hAnsiTheme="minorEastAsia"/>
          <w:b/>
          <w:sz w:val="24"/>
          <w:szCs w:val="24"/>
        </w:rPr>
      </w:pPr>
      <w:r>
        <w:rPr>
          <w:rFonts w:hint="eastAsia" w:asciiTheme="minorEastAsia" w:hAnsiTheme="minorEastAsia"/>
          <w:sz w:val="24"/>
          <w:szCs w:val="24"/>
        </w:rPr>
        <w:t>4、专业教研室应充分利用评价分析结果有效改进专业教学，持续提高人才培养质量。</w:t>
      </w:r>
    </w:p>
    <w:p>
      <w:pPr>
        <w:adjustRightInd w:val="0"/>
        <w:spacing w:line="560" w:lineRule="exact"/>
        <w:ind w:firstLine="480" w:firstLineChars="200"/>
        <w:rPr>
          <w:rFonts w:ascii="黑体" w:hAnsi="黑体" w:eastAsia="黑体"/>
          <w:b/>
          <w:sz w:val="24"/>
          <w:szCs w:val="24"/>
        </w:rPr>
      </w:pPr>
      <w:r>
        <w:rPr>
          <w:rFonts w:hint="eastAsia" w:ascii="黑体" w:hAnsi="黑体" w:eastAsia="黑体"/>
          <w:b/>
          <w:sz w:val="24"/>
          <w:szCs w:val="24"/>
        </w:rPr>
        <w:t>十、</w:t>
      </w:r>
      <w:r>
        <w:rPr>
          <w:rFonts w:ascii="黑体" w:hAnsi="黑体" w:eastAsia="黑体"/>
          <w:b/>
          <w:sz w:val="24"/>
          <w:szCs w:val="24"/>
        </w:rPr>
        <w:t>毕业要求</w:t>
      </w:r>
    </w:p>
    <w:p>
      <w:pPr>
        <w:spacing w:line="560" w:lineRule="exact"/>
        <w:ind w:firstLine="480" w:firstLineChars="200"/>
        <w:rPr>
          <w:rFonts w:asciiTheme="minorEastAsia" w:hAnsiTheme="minorEastAsia"/>
          <w:sz w:val="24"/>
          <w:szCs w:val="24"/>
        </w:rPr>
      </w:pPr>
      <w:r>
        <w:rPr>
          <w:rFonts w:hint="eastAsia" w:asciiTheme="minorEastAsia" w:hAnsiTheme="minorEastAsia"/>
          <w:sz w:val="24"/>
          <w:szCs w:val="24"/>
        </w:rPr>
        <w:t>本专业学生通过规定年</w:t>
      </w:r>
      <w:bookmarkStart w:id="0" w:name="_GoBack"/>
      <w:bookmarkEnd w:id="0"/>
      <w:r>
        <w:rPr>
          <w:rFonts w:hint="eastAsia" w:asciiTheme="minorEastAsia" w:hAnsiTheme="minorEastAsia"/>
          <w:sz w:val="24"/>
          <w:szCs w:val="24"/>
        </w:rPr>
        <w:t>限的学习，按培养方案修满</w:t>
      </w:r>
      <w:r>
        <w:rPr>
          <w:rFonts w:hint="eastAsia" w:asciiTheme="minorEastAsia" w:hAnsiTheme="minorEastAsia"/>
          <w:sz w:val="24"/>
          <w:szCs w:val="24"/>
          <w:lang w:val="en-US" w:eastAsia="zh-CN"/>
        </w:rPr>
        <w:t>150</w:t>
      </w:r>
      <w:r>
        <w:rPr>
          <w:rFonts w:hint="eastAsia" w:asciiTheme="minorEastAsia" w:hAnsiTheme="minorEastAsia"/>
          <w:sz w:val="24"/>
          <w:szCs w:val="24"/>
        </w:rPr>
        <w:t>学分方可毕业，其中第一课堂必修课</w:t>
      </w:r>
      <w:r>
        <w:rPr>
          <w:rFonts w:hint="eastAsia" w:asciiTheme="minorEastAsia" w:hAnsiTheme="minorEastAsia"/>
          <w:sz w:val="24"/>
          <w:szCs w:val="24"/>
          <w:lang w:val="en-US" w:eastAsia="zh-CN"/>
        </w:rPr>
        <w:t>124.5</w:t>
      </w:r>
      <w:r>
        <w:rPr>
          <w:rFonts w:hint="eastAsia" w:asciiTheme="minorEastAsia" w:hAnsiTheme="minorEastAsia"/>
          <w:sz w:val="24"/>
          <w:szCs w:val="24"/>
        </w:rPr>
        <w:t>学分，第二课堂选修课或活动25学分。</w:t>
      </w:r>
    </w:p>
    <w:p>
      <w:pPr>
        <w:widowControl/>
        <w:ind w:firstLine="480" w:firstLineChars="200"/>
        <w:jc w:val="left"/>
        <w:rPr>
          <w:rFonts w:hint="eastAsia" w:ascii="宋体" w:hAnsi="宋体"/>
          <w:sz w:val="24"/>
          <w:szCs w:val="24"/>
        </w:rPr>
      </w:pPr>
    </w:p>
    <w:p>
      <w:pPr>
        <w:widowControl/>
        <w:ind w:firstLine="480" w:firstLineChars="200"/>
        <w:jc w:val="left"/>
        <w:rPr>
          <w:rFonts w:asciiTheme="minorEastAsia" w:hAnsiTheme="minorEastAsia"/>
          <w:b/>
          <w:color w:val="333333"/>
          <w:sz w:val="28"/>
          <w:szCs w:val="28"/>
          <w:shd w:val="clear" w:color="auto" w:fill="FFFFFF"/>
        </w:rPr>
      </w:pPr>
      <w:r>
        <w:rPr>
          <w:rFonts w:hint="eastAsia" w:ascii="宋体" w:hAnsi="宋体"/>
          <w:sz w:val="24"/>
          <w:szCs w:val="24"/>
        </w:rPr>
        <w:t>方案制（修）定人：</w:t>
      </w:r>
      <w:r>
        <w:rPr>
          <w:rFonts w:hint="eastAsia" w:ascii="宋体" w:hAnsi="宋体"/>
          <w:sz w:val="24"/>
          <w:szCs w:val="24"/>
          <w:lang w:eastAsia="zh-CN"/>
        </w:rPr>
        <w:t>王铁刚、</w:t>
      </w:r>
      <w:r>
        <w:rPr>
          <w:rFonts w:hint="eastAsia" w:ascii="宋体" w:hAnsi="宋体"/>
          <w:sz w:val="24"/>
          <w:szCs w:val="24"/>
          <w:lang w:val="en-US" w:eastAsia="zh-CN"/>
        </w:rPr>
        <w:t>姜丽</w:t>
      </w:r>
      <w:r>
        <w:rPr>
          <w:rFonts w:hint="eastAsia" w:ascii="宋体" w:hAnsi="宋体"/>
          <w:sz w:val="24"/>
          <w:szCs w:val="24"/>
        </w:rPr>
        <w:t>、</w:t>
      </w:r>
      <w:r>
        <w:rPr>
          <w:rFonts w:hint="eastAsia" w:ascii="宋体" w:hAnsi="宋体"/>
          <w:sz w:val="24"/>
          <w:szCs w:val="24"/>
          <w:lang w:val="en-US" w:eastAsia="zh-CN"/>
        </w:rPr>
        <w:t>何世斌</w:t>
      </w:r>
      <w:r>
        <w:rPr>
          <w:rFonts w:hint="eastAsia" w:ascii="宋体" w:hAnsi="宋体"/>
          <w:sz w:val="24"/>
          <w:szCs w:val="24"/>
        </w:rPr>
        <w:t>、</w:t>
      </w:r>
      <w:r>
        <w:rPr>
          <w:rFonts w:hint="eastAsia" w:ascii="宋体" w:hAnsi="宋体"/>
          <w:sz w:val="24"/>
          <w:szCs w:val="24"/>
          <w:lang w:val="en-US" w:eastAsia="zh-CN"/>
        </w:rPr>
        <w:t>张妤</w:t>
      </w:r>
      <w:r>
        <w:rPr>
          <w:rFonts w:hint="eastAsia" w:ascii="宋体" w:hAnsi="宋体"/>
          <w:sz w:val="24"/>
          <w:szCs w:val="24"/>
        </w:rPr>
        <w:t>、</w:t>
      </w:r>
      <w:r>
        <w:rPr>
          <w:rFonts w:hint="eastAsia" w:ascii="宋体" w:hAnsi="宋体"/>
          <w:sz w:val="24"/>
          <w:szCs w:val="24"/>
          <w:lang w:val="en-US" w:eastAsia="zh-CN"/>
        </w:rPr>
        <w:t>左军</w:t>
      </w:r>
      <w:r>
        <w:rPr>
          <w:rFonts w:hint="eastAsia" w:ascii="宋体" w:hAnsi="宋体"/>
          <w:sz w:val="24"/>
          <w:szCs w:val="24"/>
        </w:rPr>
        <w:t>、</w:t>
      </w:r>
      <w:r>
        <w:rPr>
          <w:rFonts w:hint="eastAsia" w:ascii="宋体" w:hAnsi="宋体"/>
          <w:sz w:val="24"/>
          <w:szCs w:val="24"/>
          <w:lang w:val="en-US" w:eastAsia="zh-CN"/>
        </w:rPr>
        <w:t>国水应</w:t>
      </w:r>
    </w:p>
    <w:p>
      <w:pPr>
        <w:rPr>
          <w:rFonts w:asciiTheme="minorEastAsia" w:hAnsiTheme="minorEastAsia"/>
          <w:sz w:val="24"/>
          <w:szCs w:val="24"/>
        </w:rPr>
      </w:pPr>
    </w:p>
    <w:sectPr>
      <w:pgSz w:w="11906" w:h="16838"/>
      <w:pgMar w:top="1440" w:right="1797" w:bottom="1440" w:left="179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Algerian">
    <w:panose1 w:val="04020705040A02060702"/>
    <w:charset w:val="00"/>
    <w:family w:val="auto"/>
    <w:pitch w:val="default"/>
    <w:sig w:usb0="00000003" w:usb1="00000000" w:usb2="00000000" w:usb3="00000000" w:csb0="2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2851CD"/>
    <w:multiLevelType w:val="singleLevel"/>
    <w:tmpl w:val="8A2851CD"/>
    <w:lvl w:ilvl="0" w:tentative="0">
      <w:start w:val="8"/>
      <w:numFmt w:val="chineseCounting"/>
      <w:suff w:val="nothing"/>
      <w:lvlText w:val="%1、"/>
      <w:lvlJc w:val="left"/>
      <w:rPr>
        <w:rFonts w:hint="eastAsia"/>
      </w:rPr>
    </w:lvl>
  </w:abstractNum>
  <w:abstractNum w:abstractNumId="1">
    <w:nsid w:val="9ECB2AC6"/>
    <w:multiLevelType w:val="singleLevel"/>
    <w:tmpl w:val="9ECB2AC6"/>
    <w:lvl w:ilvl="0" w:tentative="0">
      <w:start w:val="2"/>
      <w:numFmt w:val="chineseCounting"/>
      <w:suff w:val="nothing"/>
      <w:lvlText w:val="（%1）"/>
      <w:lvlJc w:val="left"/>
      <w:rPr>
        <w:rFonts w:hint="eastAsia"/>
      </w:rPr>
    </w:lvl>
  </w:abstractNum>
  <w:abstractNum w:abstractNumId="2">
    <w:nsid w:val="151C1756"/>
    <w:multiLevelType w:val="multilevel"/>
    <w:tmpl w:val="151C175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9F2BF47"/>
    <w:multiLevelType w:val="singleLevel"/>
    <w:tmpl w:val="19F2BF47"/>
    <w:lvl w:ilvl="0" w:tentative="0">
      <w:start w:val="8"/>
      <w:numFmt w:val="decimal"/>
      <w:suff w:val="nothing"/>
      <w:lvlText w:val="%1、"/>
      <w:lvlJc w:val="left"/>
    </w:lvl>
  </w:abstractNum>
  <w:abstractNum w:abstractNumId="4">
    <w:nsid w:val="3D2B29AE"/>
    <w:multiLevelType w:val="singleLevel"/>
    <w:tmpl w:val="3D2B29AE"/>
    <w:lvl w:ilvl="0" w:tentative="0">
      <w:start w:val="5"/>
      <w:numFmt w:val="chineseCounting"/>
      <w:suff w:val="nothing"/>
      <w:lvlText w:val="（%1）"/>
      <w:lvlJc w:val="left"/>
      <w:rPr>
        <w:rFonts w:hint="eastAsia"/>
      </w:rPr>
    </w:lvl>
  </w:abstractNum>
  <w:abstractNum w:abstractNumId="5">
    <w:nsid w:val="5AE01675"/>
    <w:multiLevelType w:val="multilevel"/>
    <w:tmpl w:val="5AE01675"/>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
    <w:nsid w:val="77DE2D87"/>
    <w:multiLevelType w:val="singleLevel"/>
    <w:tmpl w:val="77DE2D87"/>
    <w:lvl w:ilvl="0" w:tentative="0">
      <w:start w:val="6"/>
      <w:numFmt w:val="decimal"/>
      <w:suff w:val="space"/>
      <w:lvlText w:val="%1."/>
      <w:lvlJc w:val="left"/>
    </w:lvl>
  </w:abstractNum>
  <w:num w:numId="1">
    <w:abstractNumId w:val="6"/>
  </w:num>
  <w:num w:numId="2">
    <w:abstractNumId w:val="3"/>
  </w:num>
  <w:num w:numId="3">
    <w:abstractNumId w:val="0"/>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4"/>
    <w:rsid w:val="00012D70"/>
    <w:rsid w:val="000569A9"/>
    <w:rsid w:val="00056AC3"/>
    <w:rsid w:val="00065790"/>
    <w:rsid w:val="00070D49"/>
    <w:rsid w:val="0008209F"/>
    <w:rsid w:val="00092356"/>
    <w:rsid w:val="00094ED3"/>
    <w:rsid w:val="000A4BFD"/>
    <w:rsid w:val="000D159D"/>
    <w:rsid w:val="000E6805"/>
    <w:rsid w:val="000F42EF"/>
    <w:rsid w:val="0013056F"/>
    <w:rsid w:val="0014384D"/>
    <w:rsid w:val="00194154"/>
    <w:rsid w:val="001A03B4"/>
    <w:rsid w:val="001C174E"/>
    <w:rsid w:val="001C18E3"/>
    <w:rsid w:val="002939EC"/>
    <w:rsid w:val="00300D8E"/>
    <w:rsid w:val="003801CE"/>
    <w:rsid w:val="00383CDE"/>
    <w:rsid w:val="003A3863"/>
    <w:rsid w:val="003A50C2"/>
    <w:rsid w:val="003A7BE7"/>
    <w:rsid w:val="003B49A0"/>
    <w:rsid w:val="003B5875"/>
    <w:rsid w:val="003D5D5B"/>
    <w:rsid w:val="004150D1"/>
    <w:rsid w:val="004840E8"/>
    <w:rsid w:val="004B33E8"/>
    <w:rsid w:val="004C03C2"/>
    <w:rsid w:val="004D075D"/>
    <w:rsid w:val="00513DF9"/>
    <w:rsid w:val="00521192"/>
    <w:rsid w:val="00541DF1"/>
    <w:rsid w:val="005475F7"/>
    <w:rsid w:val="00577D3E"/>
    <w:rsid w:val="00584694"/>
    <w:rsid w:val="005E3367"/>
    <w:rsid w:val="005F2E2A"/>
    <w:rsid w:val="00627A58"/>
    <w:rsid w:val="00671FD7"/>
    <w:rsid w:val="006A278D"/>
    <w:rsid w:val="006C3DB3"/>
    <w:rsid w:val="00741056"/>
    <w:rsid w:val="00741C64"/>
    <w:rsid w:val="00764C54"/>
    <w:rsid w:val="007C21E2"/>
    <w:rsid w:val="00885629"/>
    <w:rsid w:val="0089016E"/>
    <w:rsid w:val="008B0F3D"/>
    <w:rsid w:val="008B11AB"/>
    <w:rsid w:val="008B5D5B"/>
    <w:rsid w:val="008C0F6D"/>
    <w:rsid w:val="008C31DF"/>
    <w:rsid w:val="008E715C"/>
    <w:rsid w:val="00907B4C"/>
    <w:rsid w:val="00962404"/>
    <w:rsid w:val="009761F4"/>
    <w:rsid w:val="009C674C"/>
    <w:rsid w:val="009D74CB"/>
    <w:rsid w:val="009E3D52"/>
    <w:rsid w:val="00A006A4"/>
    <w:rsid w:val="00A53F85"/>
    <w:rsid w:val="00AB18C9"/>
    <w:rsid w:val="00AC3EDE"/>
    <w:rsid w:val="00AC58CA"/>
    <w:rsid w:val="00AF2499"/>
    <w:rsid w:val="00B168DB"/>
    <w:rsid w:val="00B1759C"/>
    <w:rsid w:val="00B35236"/>
    <w:rsid w:val="00B35BD7"/>
    <w:rsid w:val="00B6007B"/>
    <w:rsid w:val="00B61AAC"/>
    <w:rsid w:val="00B84142"/>
    <w:rsid w:val="00BA20F0"/>
    <w:rsid w:val="00BD1F87"/>
    <w:rsid w:val="00BD6148"/>
    <w:rsid w:val="00C20836"/>
    <w:rsid w:val="00C333B8"/>
    <w:rsid w:val="00C338F1"/>
    <w:rsid w:val="00CC29EB"/>
    <w:rsid w:val="00CF53EA"/>
    <w:rsid w:val="00CF7772"/>
    <w:rsid w:val="00D21279"/>
    <w:rsid w:val="00D43698"/>
    <w:rsid w:val="00E953B0"/>
    <w:rsid w:val="00E96149"/>
    <w:rsid w:val="00EB3822"/>
    <w:rsid w:val="00EE349A"/>
    <w:rsid w:val="00EE3610"/>
    <w:rsid w:val="00F623E7"/>
    <w:rsid w:val="00FB5776"/>
    <w:rsid w:val="00FB5955"/>
    <w:rsid w:val="00FE6E05"/>
    <w:rsid w:val="03374411"/>
    <w:rsid w:val="03ED375A"/>
    <w:rsid w:val="05126328"/>
    <w:rsid w:val="0513117F"/>
    <w:rsid w:val="07E01E7F"/>
    <w:rsid w:val="09964929"/>
    <w:rsid w:val="0D7A0B3D"/>
    <w:rsid w:val="0F504E2B"/>
    <w:rsid w:val="165734AC"/>
    <w:rsid w:val="19E11963"/>
    <w:rsid w:val="1A1155AA"/>
    <w:rsid w:val="1A75405B"/>
    <w:rsid w:val="1CDE5341"/>
    <w:rsid w:val="1CE90D46"/>
    <w:rsid w:val="1D384506"/>
    <w:rsid w:val="260C0A8A"/>
    <w:rsid w:val="28F21EED"/>
    <w:rsid w:val="29681862"/>
    <w:rsid w:val="29DA4E8D"/>
    <w:rsid w:val="2BE85F49"/>
    <w:rsid w:val="2CF72A63"/>
    <w:rsid w:val="2E206DEE"/>
    <w:rsid w:val="2F3A2CCE"/>
    <w:rsid w:val="2F5D5CD1"/>
    <w:rsid w:val="2FDC153B"/>
    <w:rsid w:val="327668DD"/>
    <w:rsid w:val="32A3330A"/>
    <w:rsid w:val="32EE518A"/>
    <w:rsid w:val="33CC4611"/>
    <w:rsid w:val="35E93D46"/>
    <w:rsid w:val="36A47EA4"/>
    <w:rsid w:val="3A440727"/>
    <w:rsid w:val="3B2E685F"/>
    <w:rsid w:val="3B930EA0"/>
    <w:rsid w:val="3F165880"/>
    <w:rsid w:val="40914650"/>
    <w:rsid w:val="436D6DA2"/>
    <w:rsid w:val="438F3E87"/>
    <w:rsid w:val="43BF2B5A"/>
    <w:rsid w:val="48FE2A55"/>
    <w:rsid w:val="4954373B"/>
    <w:rsid w:val="496F197D"/>
    <w:rsid w:val="49DA4621"/>
    <w:rsid w:val="4AC31313"/>
    <w:rsid w:val="4BDA4080"/>
    <w:rsid w:val="4C774998"/>
    <w:rsid w:val="4D0B49B5"/>
    <w:rsid w:val="4D1B0241"/>
    <w:rsid w:val="4DC66AFD"/>
    <w:rsid w:val="51DC5C9C"/>
    <w:rsid w:val="51FC509C"/>
    <w:rsid w:val="52484432"/>
    <w:rsid w:val="53155068"/>
    <w:rsid w:val="5527708D"/>
    <w:rsid w:val="58ED2625"/>
    <w:rsid w:val="5BD54080"/>
    <w:rsid w:val="5E903535"/>
    <w:rsid w:val="60B02635"/>
    <w:rsid w:val="61937CCB"/>
    <w:rsid w:val="63B95126"/>
    <w:rsid w:val="65110D9F"/>
    <w:rsid w:val="6663729C"/>
    <w:rsid w:val="671B1976"/>
    <w:rsid w:val="691C6DFB"/>
    <w:rsid w:val="698F4DEA"/>
    <w:rsid w:val="6B115DF6"/>
    <w:rsid w:val="6B7A1EE5"/>
    <w:rsid w:val="6CC74C68"/>
    <w:rsid w:val="6DDA414F"/>
    <w:rsid w:val="6E4364BD"/>
    <w:rsid w:val="70411E87"/>
    <w:rsid w:val="71EF04B2"/>
    <w:rsid w:val="726A2B1B"/>
    <w:rsid w:val="761F0BFB"/>
    <w:rsid w:val="77866A75"/>
    <w:rsid w:val="789206B3"/>
    <w:rsid w:val="791C59A7"/>
    <w:rsid w:val="7BF03213"/>
    <w:rsid w:val="7CC56B63"/>
    <w:rsid w:val="7E3C639F"/>
    <w:rsid w:val="7FF971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9"/>
    <w:qFormat/>
    <w:uiPriority w:val="0"/>
    <w:pPr>
      <w:adjustRightInd w:val="0"/>
      <w:snapToGrid w:val="0"/>
      <w:spacing w:line="400" w:lineRule="exact"/>
      <w:ind w:firstLine="200" w:firstLineChars="200"/>
      <w:outlineLvl w:val="2"/>
    </w:pPr>
    <w:rPr>
      <w:rFonts w:ascii="Times New Roman" w:hAnsi="Times New Roman" w:eastAsia="宋体" w:cs="Times New Roman"/>
      <w:sz w:val="24"/>
      <w:szCs w:val="20"/>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unhideWhenUsed/>
    <w:qFormat/>
    <w:uiPriority w:val="99"/>
    <w:pPr>
      <w:jc w:val="left"/>
    </w:pPr>
  </w:style>
  <w:style w:type="paragraph" w:styleId="5">
    <w:name w:val="Body Text Indent"/>
    <w:basedOn w:val="1"/>
    <w:qFormat/>
    <w:uiPriority w:val="0"/>
    <w:pPr>
      <w:ind w:firstLine="480" w:firstLineChars="200"/>
    </w:pPr>
    <w:rPr>
      <w:sz w:val="24"/>
      <w:vertAlign w:val="baseline"/>
    </w:rPr>
  </w:style>
  <w:style w:type="paragraph" w:styleId="6">
    <w:name w:val="Balloon Text"/>
    <w:basedOn w:val="1"/>
    <w:link w:val="24"/>
    <w:semiHidden/>
    <w:unhideWhenUsed/>
    <w:qFormat/>
    <w:uiPriority w:val="99"/>
    <w:rPr>
      <w:sz w:val="18"/>
      <w:szCs w:val="18"/>
    </w:rPr>
  </w:style>
  <w:style w:type="paragraph" w:styleId="7">
    <w:name w:val="footer"/>
    <w:basedOn w:val="1"/>
    <w:link w:val="21"/>
    <w:unhideWhenUsed/>
    <w:qFormat/>
    <w:uiPriority w:val="99"/>
    <w:pPr>
      <w:tabs>
        <w:tab w:val="center" w:pos="4153"/>
        <w:tab w:val="right" w:pos="8306"/>
      </w:tabs>
      <w:snapToGrid w:val="0"/>
      <w:jc w:val="left"/>
    </w:pPr>
    <w:rPr>
      <w:sz w:val="18"/>
      <w:szCs w:val="18"/>
    </w:rPr>
  </w:style>
  <w:style w:type="paragraph" w:styleId="8">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ascii="Calibri" w:hAnsi="Calibri" w:eastAsia="宋体"/>
      <w:kern w:val="0"/>
      <w:sz w:val="24"/>
    </w:rPr>
  </w:style>
  <w:style w:type="paragraph" w:styleId="10">
    <w:name w:val="Title"/>
    <w:basedOn w:val="1"/>
    <w:next w:val="1"/>
    <w:link w:val="27"/>
    <w:qFormat/>
    <w:uiPriority w:val="0"/>
    <w:pPr>
      <w:spacing w:before="240" w:after="60" w:line="460" w:lineRule="exact"/>
      <w:ind w:firstLine="200" w:firstLineChars="200"/>
      <w:jc w:val="center"/>
      <w:outlineLvl w:val="0"/>
    </w:pPr>
    <w:rPr>
      <w:rFonts w:ascii="Cambria" w:hAnsi="Cambria" w:eastAsia="宋体" w:cs="Times New Roman"/>
      <w:b/>
      <w:bCs/>
      <w:sz w:val="44"/>
      <w:szCs w:val="32"/>
    </w:rPr>
  </w:style>
  <w:style w:type="paragraph" w:styleId="11">
    <w:name w:val="annotation subject"/>
    <w:basedOn w:val="4"/>
    <w:next w:val="4"/>
    <w:link w:val="23"/>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qFormat/>
    <w:uiPriority w:val="0"/>
    <w:rPr>
      <w:b/>
    </w:rPr>
  </w:style>
  <w:style w:type="character" w:styleId="16">
    <w:name w:val="Hyperlink"/>
    <w:basedOn w:val="14"/>
    <w:semiHidden/>
    <w:unhideWhenUsed/>
    <w:qFormat/>
    <w:uiPriority w:val="99"/>
    <w:rPr>
      <w:color w:val="0000FF"/>
      <w:u w:val="single"/>
    </w:rPr>
  </w:style>
  <w:style w:type="character" w:styleId="17">
    <w:name w:val="annotation reference"/>
    <w:basedOn w:val="14"/>
    <w:semiHidden/>
    <w:unhideWhenUsed/>
    <w:qFormat/>
    <w:uiPriority w:val="0"/>
    <w:rPr>
      <w:sz w:val="21"/>
      <w:szCs w:val="21"/>
    </w:rPr>
  </w:style>
  <w:style w:type="character" w:customStyle="1" w:styleId="18">
    <w:name w:val="标题 1 Char"/>
    <w:basedOn w:val="14"/>
    <w:link w:val="2"/>
    <w:qFormat/>
    <w:uiPriority w:val="9"/>
    <w:rPr>
      <w:b/>
      <w:bCs/>
      <w:kern w:val="44"/>
      <w:sz w:val="44"/>
      <w:szCs w:val="44"/>
    </w:rPr>
  </w:style>
  <w:style w:type="character" w:customStyle="1" w:styleId="19">
    <w:name w:val="标题 3 Char"/>
    <w:basedOn w:val="14"/>
    <w:link w:val="3"/>
    <w:qFormat/>
    <w:uiPriority w:val="0"/>
    <w:rPr>
      <w:rFonts w:ascii="Times New Roman" w:hAnsi="Times New Roman" w:eastAsia="宋体" w:cs="Times New Roman"/>
      <w:sz w:val="24"/>
      <w:szCs w:val="20"/>
    </w:rPr>
  </w:style>
  <w:style w:type="character" w:customStyle="1" w:styleId="20">
    <w:name w:val="页眉 Char"/>
    <w:basedOn w:val="14"/>
    <w:link w:val="8"/>
    <w:qFormat/>
    <w:uiPriority w:val="99"/>
    <w:rPr>
      <w:sz w:val="18"/>
      <w:szCs w:val="18"/>
    </w:rPr>
  </w:style>
  <w:style w:type="character" w:customStyle="1" w:styleId="21">
    <w:name w:val="页脚 Char"/>
    <w:basedOn w:val="14"/>
    <w:link w:val="7"/>
    <w:qFormat/>
    <w:uiPriority w:val="99"/>
    <w:rPr>
      <w:sz w:val="18"/>
      <w:szCs w:val="18"/>
    </w:rPr>
  </w:style>
  <w:style w:type="character" w:customStyle="1" w:styleId="22">
    <w:name w:val="批注文字 Char"/>
    <w:basedOn w:val="14"/>
    <w:link w:val="4"/>
    <w:qFormat/>
    <w:uiPriority w:val="99"/>
  </w:style>
  <w:style w:type="character" w:customStyle="1" w:styleId="23">
    <w:name w:val="批注主题 Char"/>
    <w:basedOn w:val="22"/>
    <w:link w:val="11"/>
    <w:semiHidden/>
    <w:qFormat/>
    <w:uiPriority w:val="99"/>
    <w:rPr>
      <w:b/>
      <w:bCs/>
    </w:rPr>
  </w:style>
  <w:style w:type="character" w:customStyle="1" w:styleId="24">
    <w:name w:val="批注框文本 Char"/>
    <w:basedOn w:val="14"/>
    <w:link w:val="6"/>
    <w:semiHidden/>
    <w:qFormat/>
    <w:uiPriority w:val="99"/>
    <w:rPr>
      <w:sz w:val="18"/>
      <w:szCs w:val="18"/>
    </w:rPr>
  </w:style>
  <w:style w:type="paragraph" w:customStyle="1" w:styleId="25">
    <w:name w:val="样式 行距: 最小值 22 磅"/>
    <w:basedOn w:val="1"/>
    <w:qFormat/>
    <w:uiPriority w:val="0"/>
    <w:pPr>
      <w:spacing w:line="440" w:lineRule="atLeast"/>
      <w:ind w:firstLine="225" w:firstLineChars="225"/>
    </w:pPr>
    <w:rPr>
      <w:rFonts w:ascii="Times New Roman" w:hAnsi="Times New Roman" w:eastAsia="宋体" w:cs="宋体"/>
      <w:sz w:val="28"/>
      <w:szCs w:val="20"/>
    </w:rPr>
  </w:style>
  <w:style w:type="character" w:customStyle="1" w:styleId="26">
    <w:name w:val="apple-converted-space"/>
    <w:basedOn w:val="14"/>
    <w:qFormat/>
    <w:uiPriority w:val="0"/>
  </w:style>
  <w:style w:type="character" w:customStyle="1" w:styleId="27">
    <w:name w:val="标题 Char"/>
    <w:basedOn w:val="14"/>
    <w:link w:val="10"/>
    <w:qFormat/>
    <w:uiPriority w:val="0"/>
    <w:rPr>
      <w:rFonts w:ascii="Cambria" w:hAnsi="Cambria" w:eastAsia="宋体" w:cs="Times New Roman"/>
      <w:b/>
      <w:bCs/>
      <w:sz w:val="44"/>
      <w:szCs w:val="32"/>
    </w:rPr>
  </w:style>
  <w:style w:type="paragraph" w:styleId="2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Sysceo.com</Company>
  <Pages>9</Pages>
  <Words>753</Words>
  <Characters>4297</Characters>
  <Lines>35</Lines>
  <Paragraphs>10</Paragraphs>
  <TotalTime>0</TotalTime>
  <ScaleCrop>false</ScaleCrop>
  <LinksUpToDate>false</LinksUpToDate>
  <CharactersWithSpaces>5040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2021-08-14T16:16:00Z</dcterms:created>
  <dc:creator>hwl</dc:creator>
  <cp:lastModifiedBy>爱米果</cp:lastModifiedBy>
  <dcterms:modified xsi:type="dcterms:W3CDTF">2021-12-08T02:04:39Z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F291AD926B3A4A0A82525300AE7355F3</vt:lpwstr>
  </property>
</Properties>
</file>