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安徽工业职业技术学院202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年度人才引进（第一批）需求计划一览表</w:t>
      </w:r>
    </w:p>
    <w:tbl>
      <w:tblPr>
        <w:tblStyle w:val="4"/>
        <w:tblW w:w="15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38"/>
        <w:gridCol w:w="1968"/>
        <w:gridCol w:w="656"/>
        <w:gridCol w:w="656"/>
        <w:gridCol w:w="441"/>
        <w:gridCol w:w="8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岗位</w:t>
            </w:r>
          </w:p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单位、部门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岗位名称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计</w:t>
            </w:r>
          </w:p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划</w:t>
            </w:r>
          </w:p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7897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本科</w:t>
            </w: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b/>
                <w:bCs/>
                <w:color w:val="000000"/>
                <w:kern w:val="0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color w:val="000000"/>
                <w:kern w:val="0"/>
              </w:rPr>
              <w:t>硕研</w:t>
            </w:r>
          </w:p>
        </w:tc>
        <w:tc>
          <w:tcPr>
            <w:tcW w:w="7897" w:type="dxa"/>
            <w:vMerge w:val="continue"/>
          </w:tcPr>
          <w:p>
            <w:pPr>
              <w:widowControl/>
              <w:spacing w:line="270" w:lineRule="atLeast"/>
              <w:jc w:val="left"/>
              <w:rPr>
                <w:rFonts w:cs="Arial" w:asciiTheme="majorEastAsia" w:hAnsiTheme="majorEastAsia" w:eastAsiaTheme="majorEastAsia"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基础部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思政专业教师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>
            <w:pPr>
              <w:snapToGrid w:val="0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1.30周岁以下全日制硕士研究生；</w:t>
            </w:r>
          </w:p>
          <w:p>
            <w:pPr>
              <w:snapToGrid w:val="0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2.马克思主义中国化、思政教育、中共党史、马克思主义哲学等相关专业；</w:t>
            </w:r>
          </w:p>
          <w:p>
            <w:pPr>
              <w:snapToGrid w:val="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3.省级重点马克思主义学院相关专业毕业，学历可放宽至本科。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基础部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体育专业教师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snapToGrid w:val="0"/>
              <w:spacing w:line="240" w:lineRule="atLeast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7897" w:type="dxa"/>
            <w:vAlign w:val="center"/>
          </w:tcPr>
          <w:p>
            <w:pPr>
              <w:snapToGrid w:val="0"/>
              <w:spacing w:line="240" w:lineRule="atLeast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1.30周岁以下全日制本科生；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tLeast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乒乓球、篮球相关专业；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tLeast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在完成好体育课教学任务的同时能参与群体竞赛的组织、体育代表队训练工作、学生体测工作以及体育场馆中心管理工作；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tLeast"/>
              <w:ind w:left="210" w:hanging="210" w:hangingChars="1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集团内部调剂1人。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信息工程系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专业教师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7897" w:type="dxa"/>
            <w:vAlign w:val="center"/>
          </w:tcPr>
          <w:p>
            <w:pPr>
              <w:snapToGrid w:val="0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1.30周岁以下全日制硕士研究生；</w:t>
            </w:r>
          </w:p>
          <w:p>
            <w:pPr>
              <w:snapToGrid w:val="0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2.计算机科学与技术、软件工程等相关专业；</w:t>
            </w:r>
          </w:p>
          <w:p>
            <w:pPr>
              <w:snapToGrid w:val="0"/>
              <w:jc w:val="left"/>
              <w:rPr>
                <w:rFonts w:cs="仿宋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3.双一流建设高校优秀毕业生，学历可放宽至本科。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机电工程学院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车辆工程专业教师（电器方向）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1.40周岁以下全日制硕士研究生；</w:t>
            </w:r>
          </w:p>
          <w:p>
            <w:pPr>
              <w:snapToGrid w:val="0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2.有新能源汽车工作经验者，或双一流建设高校优秀毕业生，学历可放宽至本科；</w:t>
            </w: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3.专业为汽车新能源方向,汽车电器相关课程成绩优异者优先。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机电工程学院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电子与通信工程</w:t>
            </w:r>
          </w:p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专业教师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1.40周岁以下全日制硕士研究生；</w:t>
            </w:r>
          </w:p>
          <w:p>
            <w:pPr>
              <w:snapToGrid w:val="0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2.有物联网行业工作经验或学习经历的，学历可放宽至本科；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资源开发系</w:t>
            </w: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矿物加工工程专业教师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</w:t>
            </w:r>
            <w:r>
              <w:rPr>
                <w:rFonts w:cs="仿宋" w:asciiTheme="majorEastAsia" w:hAnsiTheme="majorEastAsia" w:eastAsiaTheme="majorEastAsia"/>
                <w:szCs w:val="21"/>
              </w:rPr>
              <w:t>3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0周岁以下，全日制硕士研究生学历，有选矿自动控制实践经验者学历可放宽至大学本科；</w:t>
            </w: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2.研究生方向为选矿自动化或有选矿自动控制实践经验者优先录用。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教师岗位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资源开发系</w:t>
            </w:r>
          </w:p>
        </w:tc>
        <w:tc>
          <w:tcPr>
            <w:tcW w:w="1907" w:type="dxa"/>
            <w:vAlign w:val="center"/>
          </w:tcPr>
          <w:p>
            <w:pPr>
              <w:spacing w:line="56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环境监测专业教师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sz w:val="24"/>
              </w:rPr>
            </w:pPr>
            <w:r>
              <w:rPr>
                <w:rFonts w:hint="eastAsia" w:cs="仿宋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7897" w:type="dxa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1.30周岁以下全日制硕士研究生学历，有环境工程类工作经验者学历可放宽至大学本科；</w:t>
            </w: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2.能从事环境专业教学和实训室管理工作。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辅导员岗位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学生处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专职辅导员</w:t>
            </w:r>
          </w:p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（结合教师岗位紧缺专业背景引进，兼职上课，缓解授课压力）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3（男女各不少于1人）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3</w:t>
            </w:r>
          </w:p>
        </w:tc>
        <w:tc>
          <w:tcPr>
            <w:tcW w:w="7897" w:type="dxa"/>
          </w:tcPr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1.30周岁以下全日制硕士研究生，中共党员；有3年及以上相关工作经验者年龄可以放宽至35周岁；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2.具有较高的政治素质和坚定的理想信念，坚决贯彻执行党的基本路线和各项方针政策，有较强的政治敏感性和政治辨别力；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3.热爱大学生思想政治教育事业，甘于奉献，潜心育人，具有强烈的事业心和责任感；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4.掌握从事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思想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政治教育工作相关学科的基本原理和基础知识，掌握大学生思想政治教育工作实务相关知识，掌握有关法律法规知识;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5.具备较强的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组织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管理能力和语言、文字表达能力，及教育引导能力、调查研究能力，具备开展思想理论教育和价值引领工作的能力；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6.具有较强的纪律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观念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和规矩意识，遵纪守法，为人正直，作风正派，廉洁自律；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7.具有我院开设专业相关的专业背景、在校期间有学生干部经历者优先考虑。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专职管理岗位</w:t>
            </w:r>
          </w:p>
        </w:tc>
        <w:tc>
          <w:tcPr>
            <w:tcW w:w="1684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继续教育学院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培训规划师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1专</w:t>
            </w:r>
          </w:p>
        </w:tc>
        <w:tc>
          <w:tcPr>
            <w:tcW w:w="427" w:type="dxa"/>
            <w:vAlign w:val="center"/>
          </w:tcPr>
          <w:p>
            <w:pPr>
              <w:snapToGrid w:val="0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897" w:type="dxa"/>
          </w:tcPr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1.专科及以上学历（专业不限）；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2.5年及以上培训项目开发、管理工作经历者；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3.熟悉政府相关培训政策，熟悉培训管理业务流程；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4.熟练操作培训管理线上平台，熟练使用常用办公软件；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5.具备良好的沟通、协调能力，能承受较大工作压力；</w:t>
            </w:r>
          </w:p>
          <w:p>
            <w:pPr>
              <w:tabs>
                <w:tab w:val="left" w:pos="312"/>
              </w:tabs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6.熟悉铜陵培训市场、有技能提升培训工作经历者优先。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合计</w:t>
            </w:r>
          </w:p>
        </w:tc>
        <w:tc>
          <w:tcPr>
            <w:tcW w:w="190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2本</w:t>
            </w:r>
          </w:p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1专</w:t>
            </w:r>
          </w:p>
        </w:tc>
        <w:tc>
          <w:tcPr>
            <w:tcW w:w="4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Cs w:val="21"/>
              </w:rPr>
              <w:t>10硕</w:t>
            </w:r>
          </w:p>
        </w:tc>
        <w:tc>
          <w:tcPr>
            <w:tcW w:w="7897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cs="仿宋" w:asciiTheme="majorEastAsia" w:hAnsiTheme="majorEastAsia" w:eastAsiaTheme="majorEastAsia"/>
                <w:color w:val="000000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xMjk2YmUxNjFhNWYyMjc2NTllMWUzNzYxY2IwM2MifQ=="/>
  </w:docVars>
  <w:rsids>
    <w:rsidRoot w:val="001C6A70"/>
    <w:rsid w:val="00026E79"/>
    <w:rsid w:val="0003578D"/>
    <w:rsid w:val="000602C6"/>
    <w:rsid w:val="00067093"/>
    <w:rsid w:val="00071930"/>
    <w:rsid w:val="000933D4"/>
    <w:rsid w:val="00095668"/>
    <w:rsid w:val="000C0718"/>
    <w:rsid w:val="000C2F69"/>
    <w:rsid w:val="00105C5A"/>
    <w:rsid w:val="00124F8A"/>
    <w:rsid w:val="00130F34"/>
    <w:rsid w:val="00136AAD"/>
    <w:rsid w:val="00140B69"/>
    <w:rsid w:val="001606D4"/>
    <w:rsid w:val="001639A1"/>
    <w:rsid w:val="00176DAA"/>
    <w:rsid w:val="00187CB2"/>
    <w:rsid w:val="001C5EEF"/>
    <w:rsid w:val="001C6A70"/>
    <w:rsid w:val="002358CB"/>
    <w:rsid w:val="00255B89"/>
    <w:rsid w:val="00277F03"/>
    <w:rsid w:val="00292DF1"/>
    <w:rsid w:val="002A7C48"/>
    <w:rsid w:val="002B11B5"/>
    <w:rsid w:val="002E0A5D"/>
    <w:rsid w:val="00315C88"/>
    <w:rsid w:val="00317EFD"/>
    <w:rsid w:val="003227A3"/>
    <w:rsid w:val="003234D8"/>
    <w:rsid w:val="00323969"/>
    <w:rsid w:val="00354095"/>
    <w:rsid w:val="003862DE"/>
    <w:rsid w:val="003B164B"/>
    <w:rsid w:val="003B47A4"/>
    <w:rsid w:val="003D30B2"/>
    <w:rsid w:val="003E0594"/>
    <w:rsid w:val="003E069C"/>
    <w:rsid w:val="00404987"/>
    <w:rsid w:val="00416C69"/>
    <w:rsid w:val="00462CE8"/>
    <w:rsid w:val="004639D3"/>
    <w:rsid w:val="00472ECA"/>
    <w:rsid w:val="0047584D"/>
    <w:rsid w:val="004F290A"/>
    <w:rsid w:val="00510EBB"/>
    <w:rsid w:val="00527723"/>
    <w:rsid w:val="005309A9"/>
    <w:rsid w:val="005805B3"/>
    <w:rsid w:val="005B22EB"/>
    <w:rsid w:val="005B58D1"/>
    <w:rsid w:val="005D1A2A"/>
    <w:rsid w:val="005F083A"/>
    <w:rsid w:val="00630E4B"/>
    <w:rsid w:val="0068178B"/>
    <w:rsid w:val="006945F4"/>
    <w:rsid w:val="006A4290"/>
    <w:rsid w:val="006C78DA"/>
    <w:rsid w:val="00763763"/>
    <w:rsid w:val="00783490"/>
    <w:rsid w:val="00847013"/>
    <w:rsid w:val="00872B97"/>
    <w:rsid w:val="00896D5A"/>
    <w:rsid w:val="008A163F"/>
    <w:rsid w:val="008C4A42"/>
    <w:rsid w:val="008D2B94"/>
    <w:rsid w:val="00903D6A"/>
    <w:rsid w:val="00960EA4"/>
    <w:rsid w:val="00962E78"/>
    <w:rsid w:val="009C3940"/>
    <w:rsid w:val="009D073F"/>
    <w:rsid w:val="009E240A"/>
    <w:rsid w:val="009E6F82"/>
    <w:rsid w:val="00A24C03"/>
    <w:rsid w:val="00A474CD"/>
    <w:rsid w:val="00A47A0E"/>
    <w:rsid w:val="00AE0075"/>
    <w:rsid w:val="00AE4BA3"/>
    <w:rsid w:val="00AF50EC"/>
    <w:rsid w:val="00BB4CFD"/>
    <w:rsid w:val="00C269F5"/>
    <w:rsid w:val="00C30AA5"/>
    <w:rsid w:val="00C81163"/>
    <w:rsid w:val="00C96467"/>
    <w:rsid w:val="00CA6E18"/>
    <w:rsid w:val="00CD6F18"/>
    <w:rsid w:val="00D17A31"/>
    <w:rsid w:val="00D224D0"/>
    <w:rsid w:val="00D57FC7"/>
    <w:rsid w:val="00D614EC"/>
    <w:rsid w:val="00DB3601"/>
    <w:rsid w:val="00DC05C1"/>
    <w:rsid w:val="00DF0FDE"/>
    <w:rsid w:val="00EA19F8"/>
    <w:rsid w:val="00EB0608"/>
    <w:rsid w:val="00EB1873"/>
    <w:rsid w:val="00EF0C2E"/>
    <w:rsid w:val="00EF3B3F"/>
    <w:rsid w:val="00F125D3"/>
    <w:rsid w:val="00F14FDE"/>
    <w:rsid w:val="00F82699"/>
    <w:rsid w:val="00FB0240"/>
    <w:rsid w:val="00FC11F5"/>
    <w:rsid w:val="00FC2A4F"/>
    <w:rsid w:val="00FE2D77"/>
    <w:rsid w:val="05ED4D95"/>
    <w:rsid w:val="061C412E"/>
    <w:rsid w:val="0C264442"/>
    <w:rsid w:val="1BEC7C12"/>
    <w:rsid w:val="1F9951FF"/>
    <w:rsid w:val="20D364EF"/>
    <w:rsid w:val="242E1C8E"/>
    <w:rsid w:val="26780336"/>
    <w:rsid w:val="2AFC274D"/>
    <w:rsid w:val="48C51933"/>
    <w:rsid w:val="48EB4026"/>
    <w:rsid w:val="4B646D6B"/>
    <w:rsid w:val="4F70298A"/>
    <w:rsid w:val="585F6BA0"/>
    <w:rsid w:val="5A0802B0"/>
    <w:rsid w:val="6E7C509D"/>
    <w:rsid w:val="71995F66"/>
    <w:rsid w:val="737538EA"/>
    <w:rsid w:val="767B0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01CD-C6EF-4BA4-BD5C-F1E59C10D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259</Words>
  <Characters>1481</Characters>
  <Lines>12</Lines>
  <Paragraphs>3</Paragraphs>
  <TotalTime>0</TotalTime>
  <ScaleCrop>false</ScaleCrop>
  <LinksUpToDate>false</LinksUpToDate>
  <CharactersWithSpaces>1737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2023-03-02T09:43:00Z</dcterms:created>
  <dc:creator>ID=rzbws</dc:creator>
  <cp:lastModifiedBy>苏喂苏喂i</cp:lastModifiedBy>
  <dcterms:modified xsi:type="dcterms:W3CDTF">2023-10-24T07:05:50Z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BFC35A1F9D0B4CEB8CA851C0E765557E</vt:lpwstr>
  </property>
</Properties>
</file>